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90" w:lineRule="atLeast"/>
        <w:jc w:val="center"/>
        <w:outlineLvl w:val="2"/>
        <w:rPr>
          <w:rFonts w:hint="eastAsia" w:ascii="仿宋" w:hAnsi="仿宋" w:eastAsia="仿宋"/>
          <w:b/>
          <w:bCs/>
          <w:sz w:val="32"/>
          <w:szCs w:val="32"/>
        </w:rPr>
      </w:pPr>
      <w:r>
        <w:rPr>
          <w:rFonts w:hint="eastAsia" w:ascii="仿宋" w:hAnsi="仿宋" w:eastAsia="仿宋"/>
          <w:b/>
          <w:bCs/>
          <w:sz w:val="32"/>
          <w:szCs w:val="32"/>
        </w:rPr>
        <w:t>南京医科大学康达学院教育研究课题</w:t>
      </w:r>
    </w:p>
    <w:p>
      <w:pPr>
        <w:widowControl/>
        <w:shd w:val="clear" w:color="auto" w:fill="FFFFFF"/>
        <w:spacing w:line="690" w:lineRule="atLeast"/>
        <w:jc w:val="center"/>
        <w:outlineLvl w:val="2"/>
        <w:rPr>
          <w:rFonts w:ascii="仿宋" w:hAnsi="仿宋" w:eastAsia="仿宋"/>
          <w:b/>
          <w:sz w:val="32"/>
          <w:szCs w:val="32"/>
        </w:rPr>
      </w:pPr>
      <w:r>
        <w:rPr>
          <w:rFonts w:hint="eastAsia" w:ascii="仿宋" w:hAnsi="仿宋" w:eastAsia="仿宋"/>
          <w:b/>
          <w:bCs/>
          <w:sz w:val="32"/>
          <w:szCs w:val="32"/>
        </w:rPr>
        <w:t>结题验收工作管理规定（试行）</w:t>
      </w:r>
    </w:p>
    <w:p>
      <w:pPr>
        <w:keepNext w:val="0"/>
        <w:keepLines w:val="0"/>
        <w:pageBreakBefore w:val="0"/>
        <w:widowControl w:val="0"/>
        <w:kinsoku/>
        <w:wordWrap/>
        <w:overflowPunct/>
        <w:topLinePunct w:val="0"/>
        <w:autoSpaceDE/>
        <w:autoSpaceDN/>
        <w:bidi w:val="0"/>
        <w:adjustRightInd/>
        <w:snapToGrid/>
        <w:spacing w:before="313" w:beforeLines="100" w:line="360" w:lineRule="auto"/>
        <w:ind w:firstLine="640" w:firstLineChars="200"/>
        <w:jc w:val="left"/>
        <w:textAlignment w:val="auto"/>
        <w:outlineLvl w:val="9"/>
        <w:rPr>
          <w:rFonts w:ascii="仿宋" w:hAnsi="仿宋" w:eastAsia="仿宋"/>
          <w:sz w:val="32"/>
          <w:szCs w:val="28"/>
        </w:rPr>
      </w:pPr>
      <w:r>
        <w:rPr>
          <w:rFonts w:hint="eastAsia" w:ascii="仿宋" w:hAnsi="仿宋" w:eastAsia="仿宋"/>
          <w:sz w:val="32"/>
          <w:szCs w:val="32"/>
        </w:rPr>
        <w:t>为进一步规范教育研究课题管理工作，</w:t>
      </w:r>
      <w:r>
        <w:rPr>
          <w:rFonts w:ascii="仿宋" w:hAnsi="仿宋" w:eastAsia="仿宋"/>
          <w:sz w:val="32"/>
          <w:szCs w:val="32"/>
        </w:rPr>
        <w:t>规范</w:t>
      </w:r>
      <w:r>
        <w:rPr>
          <w:rFonts w:hint="eastAsia" w:ascii="仿宋" w:hAnsi="仿宋" w:eastAsia="仿宋"/>
          <w:sz w:val="32"/>
          <w:szCs w:val="32"/>
        </w:rPr>
        <w:t>教育研究课题</w:t>
      </w:r>
      <w:r>
        <w:rPr>
          <w:rFonts w:ascii="仿宋" w:hAnsi="仿宋" w:eastAsia="仿宋"/>
          <w:sz w:val="32"/>
          <w:szCs w:val="32"/>
        </w:rPr>
        <w:t>的结题验收程序，</w:t>
      </w:r>
      <w:r>
        <w:rPr>
          <w:rFonts w:hint="eastAsia" w:ascii="仿宋" w:hAnsi="仿宋" w:eastAsia="仿宋"/>
          <w:sz w:val="32"/>
          <w:szCs w:val="32"/>
        </w:rPr>
        <w:t>特制定《南京医科大学康达学院教育研究课题结题验收工作管理规定（试行）》。</w:t>
      </w:r>
    </w:p>
    <w:p>
      <w:pPr>
        <w:pStyle w:val="4"/>
        <w:numPr>
          <w:ilvl w:val="0"/>
          <w:numId w:val="1"/>
        </w:numPr>
        <w:spacing w:before="163" w:beforeLines="50" w:line="360" w:lineRule="auto"/>
        <w:ind w:left="1281" w:firstLineChars="0"/>
        <w:jc w:val="left"/>
        <w:rPr>
          <w:rFonts w:hint="eastAsia" w:ascii="仿宋" w:hAnsi="仿宋" w:eastAsia="仿宋"/>
          <w:b/>
          <w:bCs/>
          <w:sz w:val="32"/>
          <w:szCs w:val="28"/>
        </w:rPr>
      </w:pPr>
      <w:r>
        <w:rPr>
          <w:rFonts w:hint="eastAsia" w:ascii="仿宋" w:hAnsi="仿宋" w:eastAsia="仿宋"/>
          <w:b/>
          <w:bCs/>
          <w:sz w:val="32"/>
          <w:szCs w:val="28"/>
        </w:rPr>
        <w:t>申请结题验收课题的条件</w:t>
      </w:r>
    </w:p>
    <w:p>
      <w:pPr>
        <w:spacing w:line="360" w:lineRule="auto"/>
        <w:ind w:firstLine="640" w:firstLineChars="200"/>
        <w:jc w:val="left"/>
        <w:rPr>
          <w:rFonts w:hint="eastAsia" w:ascii="仿宋" w:hAnsi="仿宋" w:eastAsia="仿宋"/>
          <w:sz w:val="32"/>
          <w:szCs w:val="28"/>
        </w:rPr>
      </w:pPr>
      <w:r>
        <w:rPr>
          <w:rFonts w:hint="eastAsia" w:ascii="仿宋" w:hAnsi="仿宋" w:eastAsia="仿宋"/>
          <w:sz w:val="32"/>
          <w:szCs w:val="28"/>
        </w:rPr>
        <w:t>1.立项课题按计划进行研究，通过了课题管理部门组织的中期检查，完成预定研究任务，取得一定研究成果的课题，可以申请结题。</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2.课题负责人提供鉴定材料，包括结题报告书、研究报告、研究成果主件、必要的附件等相关证书或文件复印件。</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3.课题完成的有形成果包括公开发布的论文、出版的教材、调研报告、成文制度等；此外，以课题研究名义组织的有影响力的活动报道也可以列入课题研究成果中。但是，课题结题必须要有有形成果。</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4.学院课题研究人员公开发表的有形成果必须以“南京医科大学康达学院”的名义发表，教学基地研究人员公开发表的有形成果必须出现“南京医科大学康达学院”</w:t>
      </w:r>
      <w:r>
        <w:rPr>
          <w:rFonts w:hint="eastAsia" w:ascii="仿宋" w:hAnsi="仿宋" w:eastAsia="仿宋"/>
          <w:sz w:val="32"/>
          <w:szCs w:val="28"/>
          <w:lang w:eastAsia="zh-CN"/>
        </w:rPr>
        <w:t>或“南京医科大学”</w:t>
      </w:r>
      <w:r>
        <w:rPr>
          <w:rFonts w:hint="eastAsia" w:ascii="仿宋" w:hAnsi="仿宋" w:eastAsia="仿宋"/>
          <w:sz w:val="32"/>
          <w:szCs w:val="28"/>
        </w:rPr>
        <w:t>字样，否则在结题时不予认可。</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5.凡是获得教育研究课题资助项目的有关论文、成果鉴定评议资料等均应标注“南京医科大学康达学院教育研究课题资助”字样，未标注者在检查、验收时不予认可。</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6.课题主持人必须以第一作者或通讯作者发表论文。一般项目至少公开发表一篇省级及以上期刊方可结题（中国知网收录），重点项目原则上应该公开发表一篇北大中文核心期刊</w:t>
      </w:r>
      <w:r>
        <w:rPr>
          <w:rFonts w:hint="eastAsia" w:ascii="仿宋" w:hAnsi="仿宋" w:eastAsia="仿宋"/>
          <w:sz w:val="32"/>
          <w:szCs w:val="28"/>
          <w:lang w:eastAsia="zh-CN"/>
        </w:rPr>
        <w:t>（发表时</w:t>
      </w:r>
      <w:bookmarkStart w:id="0" w:name="_GoBack"/>
      <w:bookmarkEnd w:id="0"/>
      <w:r>
        <w:rPr>
          <w:rFonts w:hint="eastAsia" w:ascii="仿宋" w:hAnsi="仿宋" w:eastAsia="仿宋"/>
          <w:sz w:val="32"/>
          <w:szCs w:val="28"/>
          <w:lang w:eastAsia="zh-CN"/>
        </w:rPr>
        <w:t>）</w:t>
      </w:r>
      <w:r>
        <w:rPr>
          <w:rFonts w:hint="eastAsia" w:ascii="仿宋" w:hAnsi="仿宋" w:eastAsia="仿宋"/>
          <w:sz w:val="32"/>
          <w:szCs w:val="28"/>
        </w:rPr>
        <w:t>或公开发表两篇省级及以上期刊方可结题（中国知网收录）。</w:t>
      </w:r>
    </w:p>
    <w:p>
      <w:pPr>
        <w:spacing w:line="360" w:lineRule="auto"/>
        <w:jc w:val="left"/>
        <w:rPr>
          <w:rFonts w:hint="eastAsia" w:ascii="仿宋" w:hAnsi="仿宋" w:eastAsia="仿宋"/>
          <w:b/>
          <w:bCs/>
          <w:sz w:val="32"/>
          <w:szCs w:val="28"/>
        </w:rPr>
      </w:pPr>
      <w:r>
        <w:rPr>
          <w:rFonts w:hint="eastAsia" w:ascii="仿宋" w:hAnsi="仿宋" w:eastAsia="仿宋"/>
          <w:sz w:val="32"/>
          <w:szCs w:val="28"/>
        </w:rPr>
        <w:t xml:space="preserve">    </w:t>
      </w:r>
      <w:r>
        <w:rPr>
          <w:rFonts w:hint="eastAsia" w:ascii="仿宋" w:hAnsi="仿宋" w:eastAsia="仿宋"/>
          <w:b/>
          <w:bCs/>
          <w:sz w:val="32"/>
          <w:szCs w:val="28"/>
        </w:rPr>
        <w:t>二、结题验收工作程序</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1.由课题负责人提出关于教研课题结题验收的申请，填写《南京医科大学康达学院教育研究课题结题报告书》，并提交相关鉴定材料，经所在部门审核，报送高等教育研究所进行课题结题验收。</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2.</w:t>
      </w:r>
      <w:r>
        <w:rPr>
          <w:rFonts w:hint="eastAsia"/>
          <w:sz w:val="22"/>
        </w:rPr>
        <w:t xml:space="preserve"> </w:t>
      </w:r>
      <w:r>
        <w:rPr>
          <w:rFonts w:hint="eastAsia" w:ascii="仿宋" w:hAnsi="仿宋" w:eastAsia="仿宋"/>
          <w:sz w:val="32"/>
          <w:szCs w:val="28"/>
        </w:rPr>
        <w:t>高等教育研究所在接到课题结题申请以后，就课题是否具备申请结题资格和结题材料是否齐备等方面进行预审。对不符合结题条件的申请不予以受理，待补充完善后再申请。</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3.采取专家组现场评审方式进行结题验收。由高等教育研究所聘请有关专家（一般由具有副高以上职称人员担任，原则上不少于3人，其中院外专家不少于1/3）组成结题验收专家组，根据相关标准对研究课题进行全面验收（鉴定）并实施各项具体工作。</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4.召开教研课题结题验收会议。鉴定专家在认真通读鉴定材料的基础上，对照课题申请书预期达到的目标，实事求是地对课题研究成果提出客观、公正、全面的鉴定意见。</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5.结题验收专家组集体评议后形成结题验收意见。</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6.学院对结题验收专家组提交的结题验收意见进行全面审查。对评价不实、弄虚作假，走过场的验收报告，有权予以驳回，并责成原验收专家组做补充验收或另外聘请专家重新验收。对审核合格的结题验收意见，由高等教育研究所填写审批意见。</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7.高等教育研究所对符合结题验收要求的课题颁发结题证书。</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8.对评审不能通过的课题，可暂缓结题，一年内对课题的成果、资料进行补充、完善，若符合条件经专家评审（现场评审或通讯评审）可通过结题。一年内仍达不到结题要求的课题，学院将取消其课题资格，不再办理结项手续。课题主持人两年内不得再主持申报教研课题。</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9.凡有以下情况之一者，予以撤销课题处理：（1）研究过程与结题鉴定弄虚作假，剽窃他人成果；（2）研究质量低劣；（3）与批准的课题设计严重不符。</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10.由鉴定专家对按期结题的课题进行评优。评优比例根据按期申请结题课题总数确定，评出一、二、三等奖。一等奖不超过按期申请课题结题总数的10%、二等奖不超过15%、三等奖不超过25%。对于当年无优秀的结题课题的，可以少于或空缺。其中，参与一等奖评优的课题，必须具备在北大中文核心期刊公开发表一篇论文的条件。</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11.评优奖励额度为，一等奖1000元，二等奖800元，三等奖600元。参加评优与奖励的课题必须是按期结题的课题，奖金发给课题主持人，由课题主持人负责分配。</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12.课题奖励评选工作在课题结题评审会上同期进行，即结题评审过程中由评审专家评选并推荐课题获奖等级。</w:t>
      </w:r>
    </w:p>
    <w:p>
      <w:pPr>
        <w:spacing w:line="360" w:lineRule="auto"/>
        <w:ind w:firstLine="570"/>
        <w:jc w:val="left"/>
        <w:rPr>
          <w:rFonts w:hint="eastAsia" w:ascii="仿宋" w:hAnsi="仿宋" w:eastAsia="仿宋"/>
          <w:sz w:val="32"/>
          <w:szCs w:val="28"/>
        </w:rPr>
      </w:pPr>
      <w:r>
        <w:rPr>
          <w:rFonts w:hint="eastAsia" w:ascii="仿宋" w:hAnsi="仿宋" w:eastAsia="仿宋"/>
          <w:sz w:val="32"/>
          <w:szCs w:val="28"/>
        </w:rPr>
        <w:t>13.个别课题确因特殊情况不能如期完成研究任务而需要延期结题的，应向课题管理部门提出申请，说明延期原因及延期时间，经高等教育研究所批准并审核、备案后方可延期结题。获准延期，但到期仍不能完成课题研究任务，不能按时结题的，予以撤项，并停止申报各类课题一年处理。</w:t>
      </w:r>
    </w:p>
    <w:p>
      <w:pPr>
        <w:spacing w:before="163" w:beforeLines="50" w:line="360" w:lineRule="auto"/>
        <w:ind w:firstLine="573"/>
        <w:jc w:val="left"/>
        <w:rPr>
          <w:rFonts w:hint="eastAsia" w:ascii="仿宋" w:hAnsi="仿宋" w:eastAsia="仿宋"/>
          <w:b/>
          <w:sz w:val="32"/>
          <w:szCs w:val="28"/>
        </w:rPr>
      </w:pPr>
      <w:r>
        <w:rPr>
          <w:rFonts w:hint="eastAsia" w:ascii="仿宋" w:hAnsi="仿宋" w:eastAsia="仿宋"/>
          <w:b/>
          <w:sz w:val="32"/>
          <w:szCs w:val="28"/>
        </w:rPr>
        <w:t>三、本办法解释权和修改权属于高等教育研究所</w:t>
      </w:r>
    </w:p>
    <w:p>
      <w:pPr>
        <w:spacing w:before="163" w:beforeLines="50" w:line="360" w:lineRule="auto"/>
        <w:ind w:firstLine="573"/>
        <w:jc w:val="left"/>
        <w:rPr>
          <w:rFonts w:hint="eastAsia" w:ascii="仿宋" w:hAnsi="仿宋" w:eastAsia="仿宋"/>
          <w:b/>
          <w:sz w:val="32"/>
          <w:szCs w:val="28"/>
        </w:rPr>
      </w:pPr>
      <w:r>
        <w:rPr>
          <w:rFonts w:hint="eastAsia" w:ascii="仿宋" w:hAnsi="仿宋" w:eastAsia="仿宋"/>
          <w:b/>
          <w:sz w:val="32"/>
          <w:szCs w:val="28"/>
        </w:rPr>
        <w:t>四、本办法自发文之日起实施</w:t>
      </w:r>
    </w:p>
    <w:p>
      <w:pPr>
        <w:spacing w:line="360" w:lineRule="auto"/>
        <w:jc w:val="right"/>
        <w:rPr>
          <w:rFonts w:hint="eastAsia" w:ascii="仿宋" w:hAnsi="仿宋" w:eastAsia="仿宋"/>
          <w:sz w:val="32"/>
          <w:szCs w:val="28"/>
        </w:rPr>
      </w:pPr>
    </w:p>
    <w:p>
      <w:pPr>
        <w:spacing w:line="360" w:lineRule="auto"/>
        <w:jc w:val="right"/>
        <w:rPr>
          <w:rFonts w:hint="eastAsia" w:ascii="仿宋" w:hAnsi="仿宋" w:eastAsia="仿宋"/>
          <w:sz w:val="32"/>
          <w:szCs w:val="28"/>
        </w:rPr>
      </w:pPr>
    </w:p>
    <w:p>
      <w:pPr>
        <w:spacing w:line="360" w:lineRule="auto"/>
        <w:jc w:val="right"/>
        <w:rPr>
          <w:rFonts w:hint="eastAsia" w:ascii="仿宋" w:hAnsi="仿宋" w:eastAsia="仿宋"/>
          <w:sz w:val="32"/>
          <w:szCs w:val="28"/>
        </w:rPr>
      </w:pPr>
    </w:p>
    <w:p>
      <w:pPr>
        <w:spacing w:line="360" w:lineRule="auto"/>
        <w:jc w:val="right"/>
        <w:rPr>
          <w:rFonts w:hint="eastAsia" w:ascii="仿宋" w:hAnsi="仿宋" w:eastAsia="仿宋"/>
          <w:sz w:val="32"/>
          <w:szCs w:val="28"/>
        </w:rPr>
      </w:pPr>
      <w:r>
        <w:rPr>
          <w:rFonts w:hint="eastAsia" w:ascii="仿宋" w:hAnsi="仿宋" w:eastAsia="仿宋"/>
          <w:sz w:val="32"/>
          <w:szCs w:val="28"/>
        </w:rPr>
        <w:t>南京医科大学康达学院高等教育研究所</w:t>
      </w:r>
    </w:p>
    <w:p>
      <w:pPr>
        <w:ind w:right="800"/>
        <w:jc w:val="right"/>
        <w:rPr>
          <w:rFonts w:hint="eastAsia"/>
        </w:rPr>
      </w:pPr>
      <w:r>
        <w:rPr>
          <w:rFonts w:hint="eastAsia" w:ascii="仿宋" w:hAnsi="仿宋" w:eastAsia="仿宋"/>
          <w:sz w:val="32"/>
          <w:szCs w:val="28"/>
        </w:rPr>
        <w:t>2018年11年27日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148F7"/>
    <w:multiLevelType w:val="multilevel"/>
    <w:tmpl w:val="220148F7"/>
    <w:lvl w:ilvl="0" w:tentative="0">
      <w:start w:val="1"/>
      <w:numFmt w:val="japaneseCounting"/>
      <w:lvlText w:val="%1、"/>
      <w:lvlJc w:val="left"/>
      <w:pPr>
        <w:ind w:left="1282" w:hanging="720"/>
      </w:pPr>
      <w:rPr>
        <w:rFonts w:hint="default" w:ascii="Times New Roman" w:hAnsi="Times New Roman" w:cs="Times New Roman"/>
      </w:rPr>
    </w:lvl>
    <w:lvl w:ilvl="1" w:tentative="0">
      <w:start w:val="1"/>
      <w:numFmt w:val="lowerLetter"/>
      <w:lvlText w:val="%2)"/>
      <w:lvlJc w:val="left"/>
      <w:pPr>
        <w:ind w:left="1402" w:hanging="420"/>
      </w:pPr>
      <w:rPr>
        <w:rFonts w:hint="default" w:ascii="Times New Roman" w:hAnsi="Times New Roman" w:cs="Times New Roman"/>
      </w:rPr>
    </w:lvl>
    <w:lvl w:ilvl="2" w:tentative="0">
      <w:start w:val="1"/>
      <w:numFmt w:val="lowerRoman"/>
      <w:lvlText w:val="%3."/>
      <w:lvlJc w:val="right"/>
      <w:pPr>
        <w:ind w:left="1822" w:hanging="420"/>
      </w:pPr>
      <w:rPr>
        <w:rFonts w:hint="default" w:ascii="Times New Roman" w:hAnsi="Times New Roman" w:cs="Times New Roman"/>
      </w:rPr>
    </w:lvl>
    <w:lvl w:ilvl="3" w:tentative="0">
      <w:start w:val="1"/>
      <w:numFmt w:val="decimal"/>
      <w:lvlText w:val="%4."/>
      <w:lvlJc w:val="left"/>
      <w:pPr>
        <w:ind w:left="2242" w:hanging="420"/>
      </w:pPr>
      <w:rPr>
        <w:rFonts w:hint="default" w:ascii="Times New Roman" w:hAnsi="Times New Roman" w:cs="Times New Roman"/>
      </w:rPr>
    </w:lvl>
    <w:lvl w:ilvl="4" w:tentative="0">
      <w:start w:val="1"/>
      <w:numFmt w:val="lowerLetter"/>
      <w:lvlText w:val="%5)"/>
      <w:lvlJc w:val="left"/>
      <w:pPr>
        <w:ind w:left="2662" w:hanging="420"/>
      </w:pPr>
      <w:rPr>
        <w:rFonts w:hint="default" w:ascii="Times New Roman" w:hAnsi="Times New Roman" w:cs="Times New Roman"/>
      </w:rPr>
    </w:lvl>
    <w:lvl w:ilvl="5" w:tentative="0">
      <w:start w:val="1"/>
      <w:numFmt w:val="lowerRoman"/>
      <w:lvlText w:val="%6."/>
      <w:lvlJc w:val="right"/>
      <w:pPr>
        <w:ind w:left="3082" w:hanging="420"/>
      </w:pPr>
      <w:rPr>
        <w:rFonts w:hint="default" w:ascii="Times New Roman" w:hAnsi="Times New Roman" w:cs="Times New Roman"/>
      </w:rPr>
    </w:lvl>
    <w:lvl w:ilvl="6" w:tentative="0">
      <w:start w:val="1"/>
      <w:numFmt w:val="decimal"/>
      <w:lvlText w:val="%7."/>
      <w:lvlJc w:val="left"/>
      <w:pPr>
        <w:ind w:left="3502" w:hanging="420"/>
      </w:pPr>
      <w:rPr>
        <w:rFonts w:hint="default" w:ascii="Times New Roman" w:hAnsi="Times New Roman" w:cs="Times New Roman"/>
      </w:rPr>
    </w:lvl>
    <w:lvl w:ilvl="7" w:tentative="0">
      <w:start w:val="1"/>
      <w:numFmt w:val="lowerLetter"/>
      <w:lvlText w:val="%8)"/>
      <w:lvlJc w:val="left"/>
      <w:pPr>
        <w:ind w:left="3922" w:hanging="420"/>
      </w:pPr>
      <w:rPr>
        <w:rFonts w:hint="default" w:ascii="Times New Roman" w:hAnsi="Times New Roman" w:cs="Times New Roman"/>
      </w:rPr>
    </w:lvl>
    <w:lvl w:ilvl="8" w:tentative="0">
      <w:start w:val="1"/>
      <w:numFmt w:val="lowerRoman"/>
      <w:lvlText w:val="%9."/>
      <w:lvlJc w:val="right"/>
      <w:pPr>
        <w:ind w:left="4342" w:hanging="420"/>
      </w:pPr>
      <w:rPr>
        <w:rFonts w:hint="default" w:ascii="Times New Roman" w:hAnsi="Times New Roman"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56966"/>
    <w:rsid w:val="2F656966"/>
    <w:rsid w:val="32066114"/>
    <w:rsid w:val="32FF6C0C"/>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0"/>
    <w:pPr>
      <w:ind w:firstLine="420" w:firstLineChars="200"/>
    </w:pPr>
    <w:rPr>
      <w:rFonts w:ascii="Calibri" w:hAnsi="Calibri"/>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2018-12-13T07:11:00Z</dcterms:created>
  <dc:creator>hp</dc:creator>
  <cp:lastModifiedBy>hp</cp:lastModifiedBy>
  <dcterms:modified xsi:type="dcterms:W3CDTF">2018-12-19T00:55:44Z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