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A4490">
      <w:pPr>
        <w:rPr>
          <w:rFonts w:hint="eastAsia" w:ascii="Times New Roman" w:hAnsi="Times New Roman" w:eastAsia="黑体" w:cs="Times New Roman"/>
          <w:sz w:val="36"/>
          <w:szCs w:val="36"/>
          <w:lang w:eastAsia="zh-CN"/>
        </w:rPr>
      </w:pPr>
      <w:r>
        <w:rPr>
          <w:rFonts w:hint="eastAsia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sz w:val="32"/>
          <w:szCs w:val="32"/>
          <w:lang w:val="en-US" w:eastAsia="zh-CN"/>
        </w:rPr>
        <w:t>6</w:t>
      </w:r>
    </w:p>
    <w:p w14:paraId="2A721E10">
      <w:pPr>
        <w:spacing w:after="156" w:afterLines="50"/>
        <w:jc w:val="center"/>
        <w:rPr>
          <w:rFonts w:hint="eastAsia" w:ascii="方正仿宋_GB2312" w:hAnsi="方正仿宋_GB2312" w:eastAsia="方正仿宋_GB2312" w:cs="方正仿宋_GB2312"/>
          <w:bCs/>
          <w:sz w:val="36"/>
          <w:szCs w:val="36"/>
        </w:rPr>
      </w:pPr>
      <w:r>
        <w:rPr>
          <w:rFonts w:hint="eastAsia" w:ascii="方正仿宋_GB2312" w:hAnsi="方正仿宋_GB2312" w:eastAsia="方正仿宋_GB2312" w:cs="方正仿宋_GB2312"/>
          <w:b/>
          <w:sz w:val="36"/>
          <w:szCs w:val="36"/>
        </w:rPr>
        <w:t>教师教学创新大赛评分标准</w:t>
      </w:r>
    </w:p>
    <w:p w14:paraId="7684326B">
      <w:pPr>
        <w:rPr>
          <w:rFonts w:hint="eastAsia" w:ascii="宋体" w:hAnsi="宋体" w:eastAsia="宋体" w:cs="宋体"/>
          <w:b/>
          <w:color w:val="FF0000"/>
          <w:sz w:val="28"/>
          <w:szCs w:val="28"/>
          <w:lang w:bidi="en-US"/>
        </w:rPr>
      </w:pP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一、</w:t>
      </w:r>
      <w:r>
        <w:rPr>
          <w:rFonts w:hint="eastAsia" w:ascii="宋体" w:hAnsi="宋体" w:eastAsia="宋体" w:cs="宋体"/>
          <w:b/>
          <w:color w:val="000000"/>
          <w:sz w:val="28"/>
          <w:szCs w:val="28"/>
          <w:lang w:bidi="en-US"/>
        </w:rPr>
        <w:t>教学创新成果报告评分表</w:t>
      </w: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（满分30分）</w:t>
      </w:r>
    </w:p>
    <w:tbl>
      <w:tblPr>
        <w:tblStyle w:val="5"/>
        <w:tblW w:w="8567" w:type="dxa"/>
        <w:tblInd w:w="-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1"/>
        <w:gridCol w:w="6063"/>
        <w:gridCol w:w="1073"/>
      </w:tblGrid>
      <w:tr w14:paraId="59488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31" w:type="dxa"/>
            <w:vAlign w:val="center"/>
          </w:tcPr>
          <w:p w14:paraId="245BA86B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063" w:type="dxa"/>
            <w:vAlign w:val="center"/>
          </w:tcPr>
          <w:p w14:paraId="7D73A252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73" w:type="dxa"/>
            <w:vAlign w:val="center"/>
          </w:tcPr>
          <w:p w14:paraId="380ACC9F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64C42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431" w:type="dxa"/>
            <w:vAlign w:val="center"/>
          </w:tcPr>
          <w:p w14:paraId="1636FB8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有明确的</w:t>
            </w:r>
          </w:p>
          <w:p w14:paraId="4EB04A7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问题导向</w:t>
            </w:r>
          </w:p>
        </w:tc>
        <w:tc>
          <w:tcPr>
            <w:tcW w:w="6063" w:type="dxa"/>
            <w:vAlign w:val="center"/>
          </w:tcPr>
          <w:p w14:paraId="0521002D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立足于课堂教学真实问题，能体现“以学生发展为中心”的理念，提出解决问题的思路与方案。</w:t>
            </w:r>
          </w:p>
        </w:tc>
        <w:tc>
          <w:tcPr>
            <w:tcW w:w="1073" w:type="dxa"/>
            <w:vAlign w:val="center"/>
          </w:tcPr>
          <w:p w14:paraId="1874AF8C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40755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31" w:type="dxa"/>
            <w:vAlign w:val="center"/>
          </w:tcPr>
          <w:p w14:paraId="75529CB3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有明显的</w:t>
            </w:r>
          </w:p>
          <w:p w14:paraId="4C5C591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创新特色</w:t>
            </w:r>
          </w:p>
        </w:tc>
        <w:tc>
          <w:tcPr>
            <w:tcW w:w="6063" w:type="dxa"/>
            <w:vAlign w:val="center"/>
          </w:tcPr>
          <w:p w14:paraId="28EA896A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对教学目标、内容、方法、活动、评价等教学过程各环节分析全面、透彻，能够凸显教学创新点。</w:t>
            </w:r>
          </w:p>
        </w:tc>
        <w:tc>
          <w:tcPr>
            <w:tcW w:w="1073" w:type="dxa"/>
            <w:vAlign w:val="center"/>
          </w:tcPr>
          <w:p w14:paraId="3F70F71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B2C2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31" w:type="dxa"/>
            <w:vAlign w:val="center"/>
          </w:tcPr>
          <w:p w14:paraId="7DD3813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>体现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课程</w:t>
            </w:r>
          </w:p>
          <w:p w14:paraId="13505DBB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思政特色</w:t>
            </w:r>
          </w:p>
        </w:tc>
        <w:tc>
          <w:tcPr>
            <w:tcW w:w="6063" w:type="dxa"/>
            <w:vAlign w:val="center"/>
          </w:tcPr>
          <w:p w14:paraId="03A48437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概述在课程思政建设方面的特色、亮点和创新点，形成可供借鉴推广的经验做法。</w:t>
            </w:r>
          </w:p>
        </w:tc>
        <w:tc>
          <w:tcPr>
            <w:tcW w:w="1073" w:type="dxa"/>
            <w:vAlign w:val="center"/>
          </w:tcPr>
          <w:p w14:paraId="101ACF3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4A39D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31" w:type="dxa"/>
            <w:vAlign w:val="center"/>
          </w:tcPr>
          <w:p w14:paraId="6AE2D5B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>关注技术应用于教学</w:t>
            </w:r>
          </w:p>
        </w:tc>
        <w:tc>
          <w:tcPr>
            <w:tcW w:w="6063" w:type="dxa"/>
            <w:vAlign w:val="center"/>
          </w:tcPr>
          <w:p w14:paraId="150DF26C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能够把握新时代下学生学习特点，充分利用现代信息技术开展课程教学活动和学习评价。</w:t>
            </w:r>
          </w:p>
        </w:tc>
        <w:tc>
          <w:tcPr>
            <w:tcW w:w="1073" w:type="dxa"/>
            <w:vAlign w:val="center"/>
          </w:tcPr>
          <w:p w14:paraId="77A8F60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21D2A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431" w:type="dxa"/>
            <w:vAlign w:val="center"/>
          </w:tcPr>
          <w:p w14:paraId="56DAFB26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注重创新</w:t>
            </w:r>
          </w:p>
          <w:p w14:paraId="2173AD89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成果的辐射</w:t>
            </w:r>
          </w:p>
        </w:tc>
        <w:tc>
          <w:tcPr>
            <w:tcW w:w="6063" w:type="dxa"/>
            <w:vAlign w:val="center"/>
          </w:tcPr>
          <w:p w14:paraId="74F499F4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能够对创新实践成效开展基于证据的有效分析与总结，形成具有较强辐射推广价值的教学新方法、新模式。</w:t>
            </w:r>
          </w:p>
        </w:tc>
        <w:tc>
          <w:tcPr>
            <w:tcW w:w="1073" w:type="dxa"/>
            <w:vAlign w:val="center"/>
          </w:tcPr>
          <w:p w14:paraId="241A5D3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38E61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31" w:type="dxa"/>
            <w:vAlign w:val="center"/>
          </w:tcPr>
          <w:p w14:paraId="5473D1E9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总</w:t>
            </w: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 xml:space="preserve">  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  <w:tc>
          <w:tcPr>
            <w:tcW w:w="6063" w:type="dxa"/>
            <w:vAlign w:val="center"/>
          </w:tcPr>
          <w:p w14:paraId="1443AB3C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1073" w:type="dxa"/>
            <w:vAlign w:val="center"/>
          </w:tcPr>
          <w:p w14:paraId="1D2F91D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30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</w:tbl>
    <w:p w14:paraId="6B201362">
      <w:pPr>
        <w:pStyle w:val="2"/>
        <w:ind w:firstLine="0" w:firstLineChars="0"/>
        <w:rPr>
          <w:rFonts w:hint="eastAsia"/>
        </w:rPr>
      </w:pPr>
    </w:p>
    <w:p w14:paraId="2304B543">
      <w:pPr>
        <w:rPr>
          <w:rFonts w:ascii="方正公文小标宋" w:hAnsi="方正公文小标宋" w:eastAsia="方正公文小标宋"/>
          <w:b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二、教学设计评分表（满分30分，本表总分乘以30%）</w:t>
      </w:r>
    </w:p>
    <w:tbl>
      <w:tblPr>
        <w:tblStyle w:val="5"/>
        <w:tblW w:w="8586" w:type="dxa"/>
        <w:tblInd w:w="-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6100"/>
        <w:gridCol w:w="1061"/>
      </w:tblGrid>
      <w:tr w14:paraId="2FBA1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1AA8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C18A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E2558E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2EE66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90CF3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理念与目标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7331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课程设计体现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“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以学生发展为中心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”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的理念，教学目标符合学科特点和学生实际；体现对知识、能力与思维等方面的要求。</w:t>
            </w:r>
          </w:p>
          <w:p w14:paraId="2CE8A268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教学目标清楚、具体，易于理解，便于实施，行为动词使用正确，阐述规范。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385A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3C1D6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1868A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内容分析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B9F2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教学内容前后知识点关系、地位、作用描述准确，重点、难点分析清楚。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988CCA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23F2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D7A80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D5EFA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能够将教学内容与学科研究新进展、实践发展新经验、社会需求新变化相联系。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6B654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5122E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77161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学情分析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E4BD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学生认知特点和起点水平表述恰当，学习习惯和能力分析合理。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324575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5058B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7575A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课程思政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7656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将思想政治教育与专业教育有机融合，引用典型教学案例举例说明，具有示范作用和推广价值。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8CF797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4291F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EA3BE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过程与方法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DF079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教学活动丰富多样，能体现各等级水平的知识、技能和情感价值目标。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FE814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30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318F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2FFFF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7E87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16F60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2523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B6BA2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48A190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能根据课程特点，用创新的教学策略、方法、技术解决课堂中存在的各种问题和困难；教学重点突出，难点把握准确。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E9FD35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52A56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A7751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D216C0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合理选择与应用信息技术，创设教学环境，关注师生、生生互动，强调自主、合作、探究的学习。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9A5084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E718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42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984E3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考评与反馈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23B42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采用多元评价方法，合理评价学生知识、能力与思维的发展。</w:t>
            </w:r>
          </w:p>
        </w:tc>
        <w:tc>
          <w:tcPr>
            <w:tcW w:w="106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544548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0D876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015FB">
            <w:pP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4901AF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过程性评价与终结性评价相结合，有适合学科、学生特点的评价规则与标准。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57B60">
            <w:pPr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</w:tr>
      <w:tr w14:paraId="4CD3A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DF8F2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文档规范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F464C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文字、符号、单位和公式符合标准规范；语言简洁、明了，字体、图表运用适当；文档结构完整，布局合理，格式美观。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1CE329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61D04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71CDD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设计创新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A1A195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教学方案的整体设计富有创新性，能体现高校教学理念和要求；教学方法选择适当，教学过程设计有突出的特色。</w:t>
            </w: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EC236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  <w:tr w14:paraId="67C54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C1175">
            <w:pPr>
              <w:widowControl w:val="0"/>
              <w:jc w:val="both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总</w:t>
            </w: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</w:rPr>
              <w:t xml:space="preserve">  </w:t>
            </w:r>
            <w:r>
              <w:rPr>
                <w:rFonts w:hint="eastAsia" w:ascii="仿宋" w:hAnsi="仿宋" w:eastAsia="仿宋" w:cs="Times New Roman"/>
                <w:b/>
                <w:bCs/>
                <w:spacing w:val="-12"/>
                <w:kern w:val="2"/>
              </w:rPr>
              <w:t>分</w:t>
            </w:r>
          </w:p>
        </w:tc>
        <w:tc>
          <w:tcPr>
            <w:tcW w:w="6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BC981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</w:p>
        </w:tc>
        <w:tc>
          <w:tcPr>
            <w:tcW w:w="10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973C4E">
            <w:pPr>
              <w:widowControl w:val="0"/>
              <w:jc w:val="both"/>
              <w:rPr>
                <w:rFonts w:ascii="Times New Roman" w:hAnsi="Times New Roman" w:eastAsia="仿宋" w:cs="Times New Roman"/>
                <w:spacing w:val="-12"/>
                <w:kern w:val="2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</w:rPr>
              <w:t>100</w:t>
            </w:r>
            <w:r>
              <w:rPr>
                <w:rFonts w:hint="eastAsia" w:ascii="仿宋" w:hAnsi="仿宋" w:eastAsia="仿宋" w:cs="Times New Roman"/>
                <w:spacing w:val="-12"/>
                <w:kern w:val="2"/>
              </w:rPr>
              <w:t>分</w:t>
            </w:r>
          </w:p>
        </w:tc>
      </w:tr>
    </w:tbl>
    <w:p w14:paraId="4120A49E">
      <w:pPr>
        <w:pStyle w:val="2"/>
        <w:ind w:firstLine="0" w:firstLineChars="0"/>
      </w:pPr>
    </w:p>
    <w:p w14:paraId="20EC4C77">
      <w:pPr>
        <w:rPr>
          <w:rFonts w:ascii="方正公文小标宋" w:hAnsi="方正公文小标宋" w:eastAsia="方正公文小标宋" w:cs="方正公文小标宋"/>
          <w:b/>
          <w:color w:val="FF0000"/>
          <w:sz w:val="28"/>
          <w:szCs w:val="28"/>
          <w:lang w:bidi="en-US"/>
        </w:rPr>
      </w:pPr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三、现场说课样式评分表（满分70分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8"/>
          <w:szCs w:val="28"/>
          <w:lang w:bidi="en-US"/>
        </w:rPr>
        <w:t>）</w:t>
      </w:r>
    </w:p>
    <w:tbl>
      <w:tblPr>
        <w:tblStyle w:val="5"/>
        <w:tblW w:w="8586" w:type="dxa"/>
        <w:tblInd w:w="-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6100"/>
        <w:gridCol w:w="1061"/>
      </w:tblGrid>
      <w:tr w14:paraId="5A703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25" w:type="dxa"/>
            <w:vAlign w:val="center"/>
          </w:tcPr>
          <w:p w14:paraId="45224C13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评价维度</w:t>
            </w:r>
          </w:p>
        </w:tc>
        <w:tc>
          <w:tcPr>
            <w:tcW w:w="6100" w:type="dxa"/>
          </w:tcPr>
          <w:p w14:paraId="133A6C31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评价要点</w:t>
            </w:r>
          </w:p>
        </w:tc>
        <w:tc>
          <w:tcPr>
            <w:tcW w:w="1061" w:type="dxa"/>
            <w:vAlign w:val="center"/>
          </w:tcPr>
          <w:p w14:paraId="3182B644">
            <w:pPr>
              <w:spacing w:line="300" w:lineRule="auto"/>
              <w:jc w:val="center"/>
              <w:rPr>
                <w:rFonts w:ascii="仿宋_GB2312" w:hAnsi="黑体" w:eastAsia="仿宋_GB2312" w:cs="黑体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黑体" w:eastAsia="仿宋_GB2312" w:cs="黑体"/>
                <w:b/>
                <w:bCs/>
                <w:spacing w:val="-12"/>
                <w:lang w:eastAsia="en-US" w:bidi="en-US"/>
              </w:rPr>
              <w:t>分值</w:t>
            </w:r>
          </w:p>
        </w:tc>
      </w:tr>
      <w:tr w14:paraId="2558E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4" w:hRule="exact"/>
        </w:trPr>
        <w:tc>
          <w:tcPr>
            <w:tcW w:w="1425" w:type="dxa"/>
            <w:vAlign w:val="center"/>
          </w:tcPr>
          <w:p w14:paraId="09785D4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理念与目标</w:t>
            </w:r>
          </w:p>
        </w:tc>
        <w:tc>
          <w:tcPr>
            <w:tcW w:w="6100" w:type="dxa"/>
            <w:vAlign w:val="center"/>
          </w:tcPr>
          <w:p w14:paraId="46D821F5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课程设计体现“以学生发展为中心”的理念，教学目标符合学科特点和学生实际；体现对知识、能力与思维等方面的要求。</w:t>
            </w:r>
          </w:p>
          <w:p w14:paraId="31128B1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教学目标清楚、具体，易于理解，便于实施，行为动词使用正确，阐述规范。</w:t>
            </w:r>
          </w:p>
        </w:tc>
        <w:tc>
          <w:tcPr>
            <w:tcW w:w="1061" w:type="dxa"/>
            <w:vAlign w:val="center"/>
          </w:tcPr>
          <w:p w14:paraId="3490038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10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42EE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exact"/>
        </w:trPr>
        <w:tc>
          <w:tcPr>
            <w:tcW w:w="1425" w:type="dxa"/>
            <w:vMerge w:val="restart"/>
            <w:vAlign w:val="center"/>
          </w:tcPr>
          <w:p w14:paraId="1511F29D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内容分析</w:t>
            </w:r>
          </w:p>
        </w:tc>
        <w:tc>
          <w:tcPr>
            <w:tcW w:w="6100" w:type="dxa"/>
            <w:vAlign w:val="center"/>
          </w:tcPr>
          <w:p w14:paraId="127A5C6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教学内容前后知识点关系、地位、作用描述准确，重点、难点分析清楚。</w:t>
            </w:r>
          </w:p>
        </w:tc>
        <w:tc>
          <w:tcPr>
            <w:tcW w:w="1061" w:type="dxa"/>
            <w:vMerge w:val="restart"/>
            <w:vAlign w:val="center"/>
          </w:tcPr>
          <w:p w14:paraId="196C777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8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0A6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exact"/>
        </w:trPr>
        <w:tc>
          <w:tcPr>
            <w:tcW w:w="1425" w:type="dxa"/>
            <w:vMerge w:val="continue"/>
            <w:vAlign w:val="center"/>
          </w:tcPr>
          <w:p w14:paraId="355E4797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765736D5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能够将教学内容与学科研究新进展、实践发展新经验、社会需求新变化相联系。</w:t>
            </w:r>
          </w:p>
          <w:p w14:paraId="1B7647F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754B912E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4B94C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</w:trPr>
        <w:tc>
          <w:tcPr>
            <w:tcW w:w="1425" w:type="dxa"/>
            <w:vAlign w:val="center"/>
          </w:tcPr>
          <w:p w14:paraId="0AF5E37A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学情分析</w:t>
            </w:r>
          </w:p>
        </w:tc>
        <w:tc>
          <w:tcPr>
            <w:tcW w:w="6100" w:type="dxa"/>
            <w:vAlign w:val="center"/>
          </w:tcPr>
          <w:p w14:paraId="4E410E83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学生认知特点和起点水平表述恰当，学习习惯和能力分析合理。</w:t>
            </w:r>
          </w:p>
        </w:tc>
        <w:tc>
          <w:tcPr>
            <w:tcW w:w="1061" w:type="dxa"/>
            <w:vAlign w:val="center"/>
          </w:tcPr>
          <w:p w14:paraId="77383677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5F27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</w:trPr>
        <w:tc>
          <w:tcPr>
            <w:tcW w:w="1425" w:type="dxa"/>
            <w:vAlign w:val="center"/>
          </w:tcPr>
          <w:p w14:paraId="31DD1B0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课程思政</w:t>
            </w:r>
          </w:p>
        </w:tc>
        <w:tc>
          <w:tcPr>
            <w:tcW w:w="6100" w:type="dxa"/>
            <w:vAlign w:val="center"/>
          </w:tcPr>
          <w:p w14:paraId="6C682799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将思想政治教育与专业教育有机融合，引用典型教学案例举例说明，具有示范作用和推广价值。</w:t>
            </w:r>
          </w:p>
        </w:tc>
        <w:tc>
          <w:tcPr>
            <w:tcW w:w="1061" w:type="dxa"/>
            <w:vAlign w:val="center"/>
          </w:tcPr>
          <w:p w14:paraId="4774AAD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F1E7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exact"/>
        </w:trPr>
        <w:tc>
          <w:tcPr>
            <w:tcW w:w="1425" w:type="dxa"/>
            <w:vMerge w:val="restart"/>
            <w:vAlign w:val="center"/>
          </w:tcPr>
          <w:p w14:paraId="0361EA7F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过程与方法</w:t>
            </w:r>
          </w:p>
        </w:tc>
        <w:tc>
          <w:tcPr>
            <w:tcW w:w="6100" w:type="dxa"/>
            <w:vAlign w:val="center"/>
          </w:tcPr>
          <w:p w14:paraId="7A0A0FB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教学活动丰富多样，能体现各等级水平的知识、技能和情感价值目标。</w:t>
            </w:r>
          </w:p>
        </w:tc>
        <w:tc>
          <w:tcPr>
            <w:tcW w:w="1061" w:type="dxa"/>
            <w:vMerge w:val="restart"/>
            <w:vAlign w:val="center"/>
          </w:tcPr>
          <w:p w14:paraId="6E194C4F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24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29AB1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exact"/>
        </w:trPr>
        <w:tc>
          <w:tcPr>
            <w:tcW w:w="1425" w:type="dxa"/>
            <w:vMerge w:val="continue"/>
            <w:vAlign w:val="center"/>
          </w:tcPr>
          <w:p w14:paraId="5D1C2C75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25451E0E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  <w:tc>
          <w:tcPr>
            <w:tcW w:w="1061" w:type="dxa"/>
            <w:vMerge w:val="continue"/>
            <w:vAlign w:val="center"/>
          </w:tcPr>
          <w:p w14:paraId="5CB2204D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6329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exact"/>
        </w:trPr>
        <w:tc>
          <w:tcPr>
            <w:tcW w:w="1425" w:type="dxa"/>
            <w:vMerge w:val="continue"/>
            <w:vAlign w:val="center"/>
          </w:tcPr>
          <w:p w14:paraId="26D4012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6100" w:type="dxa"/>
            <w:vAlign w:val="center"/>
          </w:tcPr>
          <w:p w14:paraId="592D7D1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  <w:tc>
          <w:tcPr>
            <w:tcW w:w="1061" w:type="dxa"/>
            <w:vMerge w:val="continue"/>
            <w:vAlign w:val="center"/>
          </w:tcPr>
          <w:p w14:paraId="4827529A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0331C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1425" w:type="dxa"/>
            <w:vMerge w:val="continue"/>
            <w:vAlign w:val="center"/>
          </w:tcPr>
          <w:p w14:paraId="5665F950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6100" w:type="dxa"/>
            <w:vAlign w:val="center"/>
          </w:tcPr>
          <w:p w14:paraId="18CF9CDF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合理选择与应用信息技术，创设教学环境，关注师生、生生互动，强调自主、合作、探究的学习。</w:t>
            </w:r>
          </w:p>
          <w:p w14:paraId="53AF3EF3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  <w:tc>
          <w:tcPr>
            <w:tcW w:w="1061" w:type="dxa"/>
            <w:vMerge w:val="continue"/>
            <w:vAlign w:val="center"/>
          </w:tcPr>
          <w:p w14:paraId="30976BA4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73358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exact"/>
        </w:trPr>
        <w:tc>
          <w:tcPr>
            <w:tcW w:w="1425" w:type="dxa"/>
            <w:vMerge w:val="restart"/>
            <w:vAlign w:val="center"/>
          </w:tcPr>
          <w:p w14:paraId="1D468F42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考评与反馈</w:t>
            </w:r>
          </w:p>
        </w:tc>
        <w:tc>
          <w:tcPr>
            <w:tcW w:w="6100" w:type="dxa"/>
            <w:vAlign w:val="center"/>
          </w:tcPr>
          <w:p w14:paraId="08E611EC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采用多元评价方法，合理评价学生知识、能力与思维的发展。</w:t>
            </w:r>
          </w:p>
        </w:tc>
        <w:tc>
          <w:tcPr>
            <w:tcW w:w="1061" w:type="dxa"/>
            <w:vMerge w:val="restart"/>
            <w:vAlign w:val="center"/>
          </w:tcPr>
          <w:p w14:paraId="3AC6985E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8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1E54E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exact"/>
        </w:trPr>
        <w:tc>
          <w:tcPr>
            <w:tcW w:w="1425" w:type="dxa"/>
            <w:vMerge w:val="continue"/>
            <w:vAlign w:val="center"/>
          </w:tcPr>
          <w:p w14:paraId="3708FC87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</w:p>
        </w:tc>
        <w:tc>
          <w:tcPr>
            <w:tcW w:w="6100" w:type="dxa"/>
            <w:vAlign w:val="center"/>
          </w:tcPr>
          <w:p w14:paraId="240DDEE8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过程性评价与终结性评价相结合，有适合学科、学生特点的评价规则与标准。</w:t>
            </w:r>
          </w:p>
        </w:tc>
        <w:tc>
          <w:tcPr>
            <w:tcW w:w="1061" w:type="dxa"/>
            <w:vMerge w:val="continue"/>
            <w:vAlign w:val="center"/>
          </w:tcPr>
          <w:p w14:paraId="4604FADD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bidi="en-US"/>
              </w:rPr>
            </w:pPr>
          </w:p>
        </w:tc>
      </w:tr>
      <w:tr w14:paraId="78215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</w:trPr>
        <w:tc>
          <w:tcPr>
            <w:tcW w:w="1425" w:type="dxa"/>
            <w:vAlign w:val="center"/>
          </w:tcPr>
          <w:p w14:paraId="477E56D2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文档规范</w:t>
            </w:r>
          </w:p>
        </w:tc>
        <w:tc>
          <w:tcPr>
            <w:tcW w:w="6100" w:type="dxa"/>
            <w:vAlign w:val="center"/>
          </w:tcPr>
          <w:p w14:paraId="5C0CA284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  <w:tc>
          <w:tcPr>
            <w:tcW w:w="1061" w:type="dxa"/>
            <w:vAlign w:val="center"/>
          </w:tcPr>
          <w:p w14:paraId="2D2D2E39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4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6D7E0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</w:trPr>
        <w:tc>
          <w:tcPr>
            <w:tcW w:w="1425" w:type="dxa"/>
            <w:vAlign w:val="center"/>
          </w:tcPr>
          <w:p w14:paraId="3FE776D6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设计创新</w:t>
            </w:r>
          </w:p>
        </w:tc>
        <w:tc>
          <w:tcPr>
            <w:tcW w:w="6100" w:type="dxa"/>
            <w:vAlign w:val="center"/>
          </w:tcPr>
          <w:p w14:paraId="4D51469B">
            <w:pPr>
              <w:spacing w:line="300" w:lineRule="auto"/>
              <w:rPr>
                <w:rFonts w:ascii="仿宋_GB2312" w:hAnsi="Times New Roman" w:eastAsia="仿宋_GB2312"/>
                <w:spacing w:val="-12"/>
                <w:lang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  <w:tc>
          <w:tcPr>
            <w:tcW w:w="1061" w:type="dxa"/>
            <w:vAlign w:val="center"/>
          </w:tcPr>
          <w:p w14:paraId="37DB369B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6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分</w:t>
            </w:r>
          </w:p>
        </w:tc>
      </w:tr>
      <w:tr w14:paraId="0783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1425" w:type="dxa"/>
            <w:vAlign w:val="center"/>
          </w:tcPr>
          <w:p w14:paraId="48AE68CC">
            <w:pPr>
              <w:spacing w:line="300" w:lineRule="auto"/>
              <w:jc w:val="center"/>
              <w:rPr>
                <w:rFonts w:ascii="仿宋_GB2312" w:hAnsi="Times New Roman" w:eastAsia="仿宋_GB2312"/>
                <w:b/>
                <w:bCs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总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bidi="en-US"/>
              </w:rPr>
              <w:t xml:space="preserve">  </w:t>
            </w:r>
            <w:r>
              <w:rPr>
                <w:rFonts w:hint="eastAsia" w:ascii="仿宋_GB2312" w:hAnsi="Times New Roman" w:eastAsia="仿宋_GB2312"/>
                <w:b/>
                <w:bCs/>
                <w:spacing w:val="-12"/>
                <w:lang w:eastAsia="en-US" w:bidi="en-US"/>
              </w:rPr>
              <w:t>分</w:t>
            </w:r>
          </w:p>
        </w:tc>
        <w:tc>
          <w:tcPr>
            <w:tcW w:w="6100" w:type="dxa"/>
            <w:vAlign w:val="center"/>
          </w:tcPr>
          <w:p w14:paraId="782CB2E9">
            <w:pPr>
              <w:spacing w:line="300" w:lineRule="auto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</w:p>
        </w:tc>
        <w:tc>
          <w:tcPr>
            <w:tcW w:w="1061" w:type="dxa"/>
            <w:vAlign w:val="center"/>
          </w:tcPr>
          <w:p w14:paraId="0E287622">
            <w:pPr>
              <w:spacing w:line="300" w:lineRule="auto"/>
              <w:jc w:val="center"/>
              <w:rPr>
                <w:rFonts w:ascii="仿宋_GB2312" w:hAnsi="Times New Roman" w:eastAsia="仿宋_GB2312"/>
                <w:spacing w:val="-12"/>
                <w:lang w:eastAsia="en-US" w:bidi="en-US"/>
              </w:rPr>
            </w:pPr>
            <w:r>
              <w:rPr>
                <w:rFonts w:hint="eastAsia" w:ascii="仿宋_GB2312" w:hAnsi="Times New Roman" w:eastAsia="仿宋_GB2312"/>
                <w:spacing w:val="-12"/>
                <w:lang w:bidi="en-US"/>
              </w:rPr>
              <w:t>7</w:t>
            </w:r>
            <w:r>
              <w:rPr>
                <w:rFonts w:hint="eastAsia" w:ascii="仿宋_GB2312" w:hAnsi="Times New Roman" w:eastAsia="仿宋_GB2312"/>
                <w:spacing w:val="-12"/>
                <w:lang w:eastAsia="en-US" w:bidi="en-US"/>
              </w:rPr>
              <w:t>0分</w:t>
            </w:r>
          </w:p>
        </w:tc>
      </w:tr>
    </w:tbl>
    <w:p w14:paraId="056708B0">
      <w:pPr>
        <w:rPr>
          <w:rFonts w:ascii="方正公文小标宋" w:hAnsi="方正公文小标宋" w:eastAsia="方正公文小标宋" w:cs="方正公文小标宋"/>
          <w:b/>
          <w:color w:val="000000"/>
          <w:sz w:val="28"/>
          <w:szCs w:val="28"/>
          <w:lang w:bidi="en-US"/>
        </w:rPr>
      </w:pPr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98643EF-D73B-4163-88A0-FC0A73DFF8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346050E6-DD47-475C-BD2A-099DA3E9610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95F0218-5ACF-4977-BA6B-1A287E4BE081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89986909-5558-4808-A6D4-35CC1B7275D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A7D68D4-AE3B-4566-BF9A-583FB90474FA}"/>
  </w:font>
  <w:font w:name="方正公文小标宋">
    <w:altName w:val="宋体"/>
    <w:panose1 w:val="00000000000000000000"/>
    <w:charset w:val="86"/>
    <w:family w:val="auto"/>
    <w:pitch w:val="default"/>
    <w:sig w:usb0="00000000" w:usb1="00000000" w:usb2="00000016" w:usb3="00000000" w:csb0="00040001" w:csb1="00000000"/>
    <w:embedRegular r:id="rId6" w:fontKey="{9939121C-BD40-4ECF-933F-B49E0AD6339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wNWM4ZTIwNjk0NDI1OWM1Yzc2MDZjMDIxMWNhMmUifQ=="/>
  </w:docVars>
  <w:rsids>
    <w:rsidRoot w:val="00114951"/>
    <w:rsid w:val="00085A9E"/>
    <w:rsid w:val="000C2F03"/>
    <w:rsid w:val="00114951"/>
    <w:rsid w:val="003023A5"/>
    <w:rsid w:val="003373C3"/>
    <w:rsid w:val="004A75D2"/>
    <w:rsid w:val="004F3AA9"/>
    <w:rsid w:val="005053D6"/>
    <w:rsid w:val="006B4821"/>
    <w:rsid w:val="006F08A5"/>
    <w:rsid w:val="00712F3E"/>
    <w:rsid w:val="007334B7"/>
    <w:rsid w:val="007B0AD4"/>
    <w:rsid w:val="007D177C"/>
    <w:rsid w:val="007D48CD"/>
    <w:rsid w:val="00863030"/>
    <w:rsid w:val="00870242"/>
    <w:rsid w:val="008D6C04"/>
    <w:rsid w:val="009057E9"/>
    <w:rsid w:val="0093268F"/>
    <w:rsid w:val="00963F63"/>
    <w:rsid w:val="00AC6208"/>
    <w:rsid w:val="00B023D4"/>
    <w:rsid w:val="00B612B9"/>
    <w:rsid w:val="00B86D9E"/>
    <w:rsid w:val="00C95209"/>
    <w:rsid w:val="00CA1E5E"/>
    <w:rsid w:val="00D83937"/>
    <w:rsid w:val="00DB634F"/>
    <w:rsid w:val="00E02BE3"/>
    <w:rsid w:val="00E677E1"/>
    <w:rsid w:val="00E804FB"/>
    <w:rsid w:val="00F03A6F"/>
    <w:rsid w:val="00F30455"/>
    <w:rsid w:val="00F74B79"/>
    <w:rsid w:val="00F82EB9"/>
    <w:rsid w:val="00FC09CB"/>
    <w:rsid w:val="00FE696F"/>
    <w:rsid w:val="09A67CC1"/>
    <w:rsid w:val="2E093D13"/>
    <w:rsid w:val="30926941"/>
    <w:rsid w:val="5D0651FD"/>
    <w:rsid w:val="5E4C2F57"/>
    <w:rsid w:val="7456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1639</Words>
  <Characters>1662</Characters>
  <Lines>12</Lines>
  <Paragraphs>3</Paragraphs>
  <TotalTime>12</TotalTime>
  <ScaleCrop>false</ScaleCrop>
  <LinksUpToDate>false</LinksUpToDate>
  <CharactersWithSpaces>1668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2022-07-26T01:01:00Z</dcterms:created>
  <dc:creator>海关</dc:creator>
  <cp:lastModifiedBy>陆柒</cp:lastModifiedBy>
  <dcterms:modified xsi:type="dcterms:W3CDTF">2026-05-25T08:26:26Z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9DFF1BBD69344BD497A4FBA22160020E_12</vt:lpwstr>
  </property>
  <property fmtid="{D5CDD505-2E9C-101B-9397-08002B2CF9AE}" pid="4" name="KSOTemplateDocerSaveRecord">
    <vt:lpwstr>eyJoZGlkIjoiZmNiNDFkYjIxOGE3ZTYzMjU0OTBmNjk4ZWQ5YjYyM2QiLCJ1c2VySWQiOiIzMzkwNDM4MjYifQ==</vt:lpwstr>
  </property>
</Properties>
</file>