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1AAD2">
      <w:pPr>
        <w:spacing w:after="100" w:afterAutospacing="1" w:line="360" w:lineRule="auto"/>
        <w:jc w:val="center"/>
        <w:rPr>
          <w:rFonts w:hint="eastAsia" w:ascii="宋体" w:hAnsi="宋体" w:eastAsia="宋体" w:cs="宋体"/>
          <w:b/>
          <w:bCs/>
          <w:kern w:val="0"/>
          <w:sz w:val="32"/>
          <w:szCs w:val="32"/>
        </w:rPr>
      </w:pPr>
      <w:r>
        <w:rPr>
          <w:rFonts w:ascii="宋体" w:hAnsi="宋体" w:eastAsia="宋体" w:cs="宋体"/>
          <w:b/>
          <w:bCs/>
          <w:kern w:val="0"/>
          <w:sz w:val="32"/>
          <w:szCs w:val="32"/>
        </w:rPr>
        <w:t>康养照护技术</w:t>
      </w:r>
      <w:r>
        <w:rPr>
          <w:rFonts w:hint="eastAsia" w:ascii="宋体" w:hAnsi="宋体" w:eastAsia="宋体" w:cs="宋体"/>
          <w:b/>
          <w:bCs/>
          <w:kern w:val="0"/>
          <w:sz w:val="32"/>
          <w:szCs w:val="32"/>
        </w:rPr>
        <w:t>微专业招生简章</w:t>
      </w:r>
    </w:p>
    <w:p w14:paraId="54343222">
      <w:pPr>
        <w:widowControl/>
        <w:adjustRightInd w:val="0"/>
        <w:snapToGrid w:val="0"/>
        <w:spacing w:line="360" w:lineRule="auto"/>
        <w:ind w:firstLine="560" w:firstLineChars="200"/>
        <w:rPr>
          <w:rFonts w:ascii="宋体" w:hAnsi="宋体" w:eastAsia="宋体" w:cs="宋体"/>
          <w:kern w:val="0"/>
          <w:sz w:val="28"/>
          <w:szCs w:val="28"/>
        </w:rPr>
      </w:pPr>
      <w:r>
        <w:rPr>
          <w:rFonts w:ascii="宋体" w:hAnsi="宋体" w:eastAsia="宋体" w:cs="宋体"/>
          <w:kern w:val="0"/>
          <w:sz w:val="28"/>
          <w:szCs w:val="28"/>
        </w:rPr>
        <w:t>为进一步适应健康中国战略实施、积极应对人口老龄化国家战略和康养产业高质量发展需要，推进健康服务与管理专业学生跨学科、复合型、应用型能力培养，现启动康养照护技术微专业招生工作。请符合条件的同学结合个人兴趣、学业基础与职业规划，认真阅读本简章并审慎报名。</w:t>
      </w:r>
    </w:p>
    <w:p w14:paraId="2E2D5D0E">
      <w:pPr>
        <w:widowControl/>
        <w:adjustRightInd w:val="0"/>
        <w:snapToGrid w:val="0"/>
        <w:spacing w:line="360" w:lineRule="auto"/>
        <w:ind w:firstLine="562" w:firstLineChars="200"/>
        <w:rPr>
          <w:rFonts w:hint="eastAsia" w:ascii="宋体" w:hAnsi="宋体" w:eastAsia="宋体" w:cs="宋体"/>
          <w:b/>
          <w:bCs/>
          <w:kern w:val="0"/>
          <w:sz w:val="28"/>
          <w:szCs w:val="28"/>
        </w:rPr>
      </w:pPr>
      <w:r>
        <w:rPr>
          <w:rFonts w:hint="eastAsia" w:ascii="宋体" w:hAnsi="宋体" w:eastAsia="宋体" w:cs="宋体"/>
          <w:b/>
          <w:bCs/>
          <w:kern w:val="0"/>
          <w:sz w:val="28"/>
          <w:szCs w:val="28"/>
        </w:rPr>
        <w:t>一、微专业简介</w:t>
      </w:r>
    </w:p>
    <w:p w14:paraId="629523F2">
      <w:pPr>
        <w:widowControl/>
        <w:adjustRightInd w:val="0"/>
        <w:snapToGrid w:val="0"/>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康养照护技术微专业依托健康服务与管理专业设置，立足康复、养老、护理、健康促进等领域对复合型应用人才的现实需要，着力培养学生在康养照护服务中的实践能力。微专业以医学、管理学为基础支撑，结合健康服务与管理专业已有的医学基础、健康管理、老年健康服务、慢病干预等课程基础，进一步拓展老年康复、中医康复、经络腧穴、推拿和护理实践技能等内容，形成“健康管理基础+康养照护技能”的交叉融合特色。</w:t>
      </w:r>
    </w:p>
    <w:p w14:paraId="6A34475F">
      <w:pPr>
        <w:widowControl/>
        <w:adjustRightInd w:val="0"/>
        <w:snapToGrid w:val="0"/>
        <w:spacing w:line="360"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本微专业突出实践导向和岗位导向，注重学生对康养评估、日常照护、康复支持、健康促进和中医养生保健等能力的培养，帮助学生提升服务老年人群、慢病人群、康复期人群及其他重点健康需求人群的职业胜任力。学生完成学习后，可在医养结合机构、养老服务机构、康复中心、社区健康服务机构、健康管理企业等领域，从事健康照护、康复支持、健康指导与服务管理等相关工作，也可为继续深造和向康养服务、老年健康服务等方向发展奠定基础。</w:t>
      </w:r>
    </w:p>
    <w:p w14:paraId="1B9D77F8">
      <w:pPr>
        <w:widowControl/>
        <w:adjustRightInd w:val="0"/>
        <w:snapToGrid w:val="0"/>
        <w:spacing w:line="360" w:lineRule="auto"/>
        <w:ind w:firstLine="562" w:firstLineChars="200"/>
        <w:rPr>
          <w:rFonts w:hint="eastAsia" w:ascii="宋体" w:hAnsi="宋体" w:eastAsia="宋体" w:cs="宋体"/>
          <w:b/>
          <w:bCs/>
          <w:kern w:val="0"/>
          <w:sz w:val="28"/>
          <w:szCs w:val="28"/>
        </w:rPr>
      </w:pPr>
      <w:r>
        <w:rPr>
          <w:rFonts w:hint="eastAsia" w:ascii="宋体" w:hAnsi="宋体" w:eastAsia="宋体" w:cs="宋体"/>
          <w:b/>
          <w:bCs/>
          <w:kern w:val="0"/>
          <w:sz w:val="28"/>
          <w:szCs w:val="28"/>
        </w:rPr>
        <w:t>二、培养目标</w:t>
      </w:r>
    </w:p>
    <w:p w14:paraId="73A2766F">
      <w:pPr>
        <w:widowControl/>
        <w:adjustRightInd w:val="0"/>
        <w:snapToGrid w:val="0"/>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本微专业坚持以习近平新时代中国特色社会主义思想为指导，全面贯彻党的教育方针，落实立德树人根本任务，立足学校应用型人才培养定位，面向健康中国建设、积极应对人口老龄化国家战略和康养产业发展需要，培养德智体美劳全面发展，具有人文关怀精神、良好职业道德和社会责任意识，系统掌握康养照护基本理论、基本知识与基本技能，能够将健康管理、老年康复、中医养生、护理实践与健康服务有机结合的复合型、应用型人才。</w:t>
      </w:r>
    </w:p>
    <w:p w14:paraId="6EA023E9">
      <w:pPr>
        <w:widowControl/>
        <w:adjustRightInd w:val="0"/>
        <w:snapToGrid w:val="0"/>
        <w:spacing w:line="360" w:lineRule="auto"/>
        <w:ind w:firstLine="560" w:firstLineChars="200"/>
        <w:rPr>
          <w:rFonts w:ascii="宋体" w:hAnsi="宋体" w:eastAsia="宋体" w:cs="宋体"/>
          <w:kern w:val="0"/>
          <w:sz w:val="28"/>
          <w:szCs w:val="28"/>
        </w:rPr>
      </w:pPr>
      <w:r>
        <w:rPr>
          <w:rFonts w:hint="eastAsia" w:ascii="宋体" w:hAnsi="宋体" w:eastAsia="宋体" w:cs="宋体"/>
          <w:kern w:val="0"/>
          <w:sz w:val="28"/>
          <w:szCs w:val="28"/>
        </w:rPr>
        <w:t>本微专业突出“健康服务管理基础+康养照护技术能力提升”的培养特色，重点强化学生在康养评估、健康促进、生活照护、康复支持、中医适宜技术应用和基础护理实践等方面的综合能力训练，提升学生在医养结合机构、养老服务机构、康复中心、社区健康服务机构及健康产业相关岗位中的职业适应力与岗位胜任力，推动学生实现由“懂健康管理”向“懂健康管理、会康养照护、能服务实践”的能力转变。</w:t>
      </w:r>
    </w:p>
    <w:p w14:paraId="2E91610B">
      <w:pPr>
        <w:widowControl/>
        <w:adjustRightInd w:val="0"/>
        <w:snapToGrid w:val="0"/>
        <w:spacing w:line="360" w:lineRule="auto"/>
        <w:ind w:firstLine="562" w:firstLineChars="200"/>
        <w:rPr>
          <w:rFonts w:hint="eastAsia" w:ascii="宋体" w:hAnsi="宋体" w:eastAsia="宋体" w:cs="宋体"/>
          <w:b/>
          <w:bCs/>
          <w:kern w:val="0"/>
          <w:sz w:val="28"/>
          <w:szCs w:val="28"/>
        </w:rPr>
      </w:pPr>
      <w:r>
        <w:rPr>
          <w:rFonts w:hint="eastAsia" w:ascii="宋体" w:hAnsi="宋体" w:eastAsia="宋体" w:cs="宋体"/>
          <w:b/>
          <w:bCs/>
          <w:kern w:val="0"/>
          <w:sz w:val="28"/>
          <w:szCs w:val="28"/>
        </w:rPr>
        <w:t>三、招生对象</w:t>
      </w:r>
    </w:p>
    <w:p w14:paraId="0B710807">
      <w:pPr>
        <w:widowControl/>
        <w:adjustRightInd w:val="0"/>
        <w:snapToGrid w:val="0"/>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2024级</w:t>
      </w:r>
      <w:r>
        <w:rPr>
          <w:rFonts w:hint="eastAsia" w:ascii="宋体" w:hAnsi="宋体" w:eastAsia="宋体" w:cs="宋体"/>
          <w:kern w:val="0"/>
          <w:sz w:val="28"/>
          <w:szCs w:val="28"/>
        </w:rPr>
        <w:t>健康服务与管理专业学生。报名学生应具有较好的学习能力和职业发展意愿，认同康养照护领域的发展方向，具备一定的医学基础知识、健康服务意识和实践学习兴趣。</w:t>
      </w:r>
    </w:p>
    <w:p w14:paraId="2520D691">
      <w:pPr>
        <w:widowControl/>
        <w:adjustRightInd w:val="0"/>
        <w:snapToGrid w:val="0"/>
        <w:spacing w:line="360" w:lineRule="auto"/>
        <w:ind w:firstLine="562" w:firstLineChars="200"/>
        <w:rPr>
          <w:rFonts w:hint="eastAsia" w:ascii="宋体" w:hAnsi="宋体" w:eastAsia="宋体" w:cs="宋体"/>
          <w:b/>
          <w:bCs/>
          <w:kern w:val="0"/>
          <w:sz w:val="28"/>
          <w:szCs w:val="28"/>
        </w:rPr>
      </w:pPr>
      <w:bookmarkStart w:id="0" w:name="_GoBack"/>
      <w:bookmarkEnd w:id="0"/>
      <w:r>
        <w:rPr>
          <w:rFonts w:hint="eastAsia" w:ascii="宋体" w:hAnsi="宋体" w:eastAsia="宋体" w:cs="宋体"/>
          <w:b/>
          <w:bCs/>
          <w:kern w:val="0"/>
          <w:sz w:val="28"/>
          <w:szCs w:val="28"/>
        </w:rPr>
        <w:t>四、招生计划</w:t>
      </w:r>
    </w:p>
    <w:p w14:paraId="4EDFE491">
      <w:pPr>
        <w:widowControl/>
        <w:adjustRightInd w:val="0"/>
        <w:snapToGrid w:val="0"/>
        <w:spacing w:line="360" w:lineRule="auto"/>
        <w:ind w:firstLine="560" w:firstLineChars="200"/>
        <w:rPr>
          <w:rFonts w:hint="default" w:ascii="宋体" w:hAnsi="宋体" w:eastAsia="宋体" w:cs="宋体"/>
          <w:kern w:val="0"/>
          <w:sz w:val="28"/>
          <w:szCs w:val="28"/>
          <w:lang w:val="en-US"/>
        </w:rPr>
      </w:pPr>
      <w:r>
        <w:rPr>
          <w:rFonts w:hint="eastAsia" w:ascii="宋体" w:hAnsi="宋体" w:eastAsia="宋体" w:cs="宋体"/>
          <w:kern w:val="0"/>
          <w:sz w:val="28"/>
          <w:szCs w:val="28"/>
          <w:lang w:val="en-US" w:eastAsia="zh-CN"/>
        </w:rPr>
        <w:t>30人</w:t>
      </w:r>
    </w:p>
    <w:p w14:paraId="59ED089C">
      <w:pPr>
        <w:widowControl/>
        <w:adjustRightInd w:val="0"/>
        <w:snapToGrid w:val="0"/>
        <w:spacing w:line="360" w:lineRule="auto"/>
        <w:ind w:firstLine="562" w:firstLineChars="200"/>
        <w:rPr>
          <w:rFonts w:hint="eastAsia" w:ascii="宋体" w:hAnsi="宋体" w:eastAsia="宋体" w:cs="宋体"/>
          <w:b/>
          <w:bCs/>
          <w:kern w:val="0"/>
          <w:sz w:val="28"/>
          <w:szCs w:val="28"/>
        </w:rPr>
      </w:pPr>
      <w:r>
        <w:rPr>
          <w:rFonts w:hint="eastAsia" w:ascii="宋体" w:hAnsi="宋体" w:eastAsia="宋体" w:cs="宋体"/>
          <w:b/>
          <w:bCs/>
          <w:kern w:val="0"/>
          <w:sz w:val="28"/>
          <w:szCs w:val="28"/>
        </w:rPr>
        <w:t>五、教学计划及授课安排</w:t>
      </w:r>
    </w:p>
    <w:tbl>
      <w:tblPr>
        <w:tblStyle w:val="3"/>
        <w:tblW w:w="8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3"/>
        <w:gridCol w:w="1215"/>
        <w:gridCol w:w="1305"/>
        <w:gridCol w:w="2055"/>
        <w:gridCol w:w="1431"/>
      </w:tblGrid>
      <w:tr w14:paraId="12011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663" w:type="dxa"/>
            <w:vAlign w:val="center"/>
          </w:tcPr>
          <w:p w14:paraId="228705E7">
            <w:pPr>
              <w:widowControl/>
              <w:jc w:val="center"/>
              <w:rPr>
                <w:rFonts w:hint="eastAsia" w:ascii="宋体" w:hAnsi="宋体" w:eastAsia="宋体" w:cs="宋体"/>
                <w:b/>
                <w:spacing w:val="20"/>
                <w:sz w:val="22"/>
                <w:szCs w:val="22"/>
              </w:rPr>
            </w:pPr>
            <w:r>
              <w:rPr>
                <w:rFonts w:hint="eastAsia" w:ascii="宋体" w:hAnsi="宋体" w:eastAsia="宋体" w:cs="宋体"/>
                <w:b/>
                <w:sz w:val="22"/>
                <w:szCs w:val="22"/>
              </w:rPr>
              <w:t>课程名称</w:t>
            </w:r>
          </w:p>
        </w:tc>
        <w:tc>
          <w:tcPr>
            <w:tcW w:w="1215" w:type="dxa"/>
            <w:vAlign w:val="center"/>
          </w:tcPr>
          <w:p w14:paraId="64F0962F">
            <w:pPr>
              <w:widowControl/>
              <w:jc w:val="center"/>
              <w:rPr>
                <w:rFonts w:hint="eastAsia" w:ascii="宋体" w:hAnsi="宋体" w:eastAsia="宋体" w:cs="宋体"/>
                <w:b/>
                <w:spacing w:val="20"/>
                <w:sz w:val="22"/>
                <w:szCs w:val="22"/>
              </w:rPr>
            </w:pPr>
            <w:r>
              <w:rPr>
                <w:rFonts w:hint="eastAsia" w:ascii="宋体" w:hAnsi="宋体" w:eastAsia="宋体" w:cs="宋体"/>
                <w:b/>
                <w:sz w:val="22"/>
                <w:szCs w:val="22"/>
              </w:rPr>
              <w:t>学分</w:t>
            </w:r>
          </w:p>
        </w:tc>
        <w:tc>
          <w:tcPr>
            <w:tcW w:w="1305" w:type="dxa"/>
            <w:vAlign w:val="center"/>
          </w:tcPr>
          <w:p w14:paraId="77E60E57">
            <w:pPr>
              <w:jc w:val="center"/>
              <w:rPr>
                <w:rFonts w:hint="eastAsia" w:ascii="宋体" w:hAnsi="宋体" w:eastAsia="宋体" w:cs="宋体"/>
                <w:b/>
                <w:spacing w:val="20"/>
                <w:sz w:val="22"/>
                <w:szCs w:val="22"/>
              </w:rPr>
            </w:pPr>
            <w:r>
              <w:rPr>
                <w:rFonts w:hint="eastAsia" w:ascii="宋体" w:hAnsi="宋体" w:eastAsia="宋体" w:cs="宋体"/>
                <w:b/>
                <w:sz w:val="22"/>
                <w:szCs w:val="22"/>
              </w:rPr>
              <w:t>总学时</w:t>
            </w:r>
          </w:p>
        </w:tc>
        <w:tc>
          <w:tcPr>
            <w:tcW w:w="2055" w:type="dxa"/>
            <w:vAlign w:val="center"/>
          </w:tcPr>
          <w:p w14:paraId="7072D9D5">
            <w:pPr>
              <w:widowControl/>
              <w:jc w:val="center"/>
              <w:rPr>
                <w:rFonts w:hint="eastAsia" w:ascii="宋体" w:hAnsi="宋体" w:eastAsia="宋体" w:cs="宋体"/>
                <w:b/>
                <w:spacing w:val="20"/>
                <w:sz w:val="22"/>
                <w:szCs w:val="22"/>
              </w:rPr>
            </w:pPr>
            <w:r>
              <w:rPr>
                <w:rFonts w:hint="eastAsia" w:ascii="宋体" w:hAnsi="宋体" w:eastAsia="宋体" w:cs="宋体"/>
                <w:b/>
                <w:spacing w:val="20"/>
                <w:sz w:val="22"/>
                <w:szCs w:val="22"/>
              </w:rPr>
              <w:t>开课形式</w:t>
            </w:r>
          </w:p>
        </w:tc>
        <w:tc>
          <w:tcPr>
            <w:tcW w:w="1431" w:type="dxa"/>
            <w:vAlign w:val="center"/>
          </w:tcPr>
          <w:p w14:paraId="2E14E704">
            <w:pPr>
              <w:widowControl/>
              <w:jc w:val="center"/>
              <w:rPr>
                <w:rFonts w:hint="eastAsia" w:ascii="宋体" w:hAnsi="宋体" w:eastAsia="宋体" w:cs="宋体"/>
                <w:b/>
                <w:spacing w:val="20"/>
                <w:sz w:val="22"/>
                <w:szCs w:val="22"/>
              </w:rPr>
            </w:pPr>
            <w:r>
              <w:rPr>
                <w:rFonts w:hint="eastAsia" w:ascii="宋体" w:hAnsi="宋体" w:eastAsia="宋体" w:cs="宋体"/>
                <w:b/>
                <w:spacing w:val="20"/>
                <w:sz w:val="22"/>
                <w:szCs w:val="22"/>
              </w:rPr>
              <w:t>修业年限</w:t>
            </w:r>
          </w:p>
        </w:tc>
      </w:tr>
      <w:tr w14:paraId="4529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663" w:type="dxa"/>
            <w:vAlign w:val="center"/>
          </w:tcPr>
          <w:p w14:paraId="758D996A">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老年康复学</w:t>
            </w:r>
          </w:p>
        </w:tc>
        <w:tc>
          <w:tcPr>
            <w:tcW w:w="1215" w:type="dxa"/>
            <w:vAlign w:val="center"/>
          </w:tcPr>
          <w:p w14:paraId="5443789C">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2</w:t>
            </w:r>
          </w:p>
        </w:tc>
        <w:tc>
          <w:tcPr>
            <w:tcW w:w="1305" w:type="dxa"/>
            <w:vAlign w:val="center"/>
          </w:tcPr>
          <w:p w14:paraId="3B76D150">
            <w:pPr>
              <w:jc w:val="center"/>
              <w:rPr>
                <w:rFonts w:hint="eastAsia" w:ascii="宋体" w:hAnsi="宋体" w:eastAsia="宋体" w:cs="宋体"/>
                <w:b w:val="0"/>
                <w:bCs/>
                <w:spacing w:val="20"/>
                <w:sz w:val="24"/>
              </w:rPr>
            </w:pPr>
            <w:r>
              <w:rPr>
                <w:rFonts w:hint="eastAsia" w:ascii="宋体" w:hAnsi="宋体" w:eastAsia="宋体" w:cs="宋体"/>
                <w:b w:val="0"/>
                <w:bCs/>
                <w:spacing w:val="20"/>
                <w:sz w:val="24"/>
              </w:rPr>
              <w:t>32</w:t>
            </w:r>
          </w:p>
        </w:tc>
        <w:tc>
          <w:tcPr>
            <w:tcW w:w="2055" w:type="dxa"/>
            <w:vAlign w:val="center"/>
          </w:tcPr>
          <w:p w14:paraId="5848BF54">
            <w:pPr>
              <w:keepNext w:val="0"/>
              <w:keepLines w:val="0"/>
              <w:widowControl/>
              <w:suppressLineNumbers w:val="0"/>
              <w:jc w:val="center"/>
              <w:textAlignment w:val="center"/>
              <w:rPr>
                <w:rFonts w:hint="eastAsia" w:ascii="宋体" w:hAnsi="宋体" w:eastAsia="宋体" w:cs="宋体"/>
                <w:b w:val="0"/>
                <w:bCs/>
                <w:spacing w:val="20"/>
                <w:sz w:val="24"/>
                <w:szCs w:val="24"/>
              </w:rPr>
            </w:pPr>
            <w:r>
              <w:rPr>
                <w:rFonts w:hint="eastAsia" w:ascii="宋体" w:hAnsi="宋体" w:eastAsia="宋体" w:cs="宋体"/>
                <w:i w:val="0"/>
                <w:iCs w:val="0"/>
                <w:color w:val="000000"/>
                <w:kern w:val="0"/>
                <w:sz w:val="24"/>
                <w:szCs w:val="24"/>
                <w:u w:val="none"/>
                <w:lang w:val="en-US" w:eastAsia="zh-CN" w:bidi="ar"/>
              </w:rPr>
              <w:t>线上+线下</w:t>
            </w:r>
          </w:p>
        </w:tc>
        <w:tc>
          <w:tcPr>
            <w:tcW w:w="1431" w:type="dxa"/>
            <w:vMerge w:val="restart"/>
            <w:vAlign w:val="center"/>
          </w:tcPr>
          <w:p w14:paraId="5701FFF7">
            <w:pPr>
              <w:widowControl/>
              <w:jc w:val="center"/>
              <w:rPr>
                <w:rFonts w:hint="eastAsia" w:ascii="宋体" w:hAnsi="宋体" w:eastAsia="宋体" w:cs="宋体"/>
                <w:b w:val="0"/>
                <w:bCs/>
                <w:spacing w:val="20"/>
                <w:sz w:val="24"/>
                <w:lang w:eastAsia="zh-CN"/>
              </w:rPr>
            </w:pPr>
            <w:r>
              <w:rPr>
                <w:rFonts w:hint="eastAsia" w:ascii="宋体" w:hAnsi="宋体" w:eastAsia="宋体" w:cs="宋体"/>
                <w:b w:val="0"/>
                <w:bCs/>
                <w:spacing w:val="20"/>
                <w:sz w:val="24"/>
              </w:rPr>
              <w:t>1</w:t>
            </w:r>
            <w:r>
              <w:rPr>
                <w:rFonts w:hint="eastAsia" w:ascii="宋体" w:hAnsi="宋体" w:eastAsia="宋体" w:cs="宋体"/>
                <w:b w:val="0"/>
                <w:bCs/>
                <w:spacing w:val="20"/>
                <w:sz w:val="24"/>
                <w:lang w:val="en-US" w:eastAsia="zh-CN"/>
              </w:rPr>
              <w:t>年</w:t>
            </w:r>
          </w:p>
        </w:tc>
      </w:tr>
      <w:tr w14:paraId="302C1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663" w:type="dxa"/>
            <w:vAlign w:val="center"/>
          </w:tcPr>
          <w:p w14:paraId="4907D1A8">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中医康复学</w:t>
            </w:r>
          </w:p>
        </w:tc>
        <w:tc>
          <w:tcPr>
            <w:tcW w:w="1215" w:type="dxa"/>
            <w:vAlign w:val="center"/>
          </w:tcPr>
          <w:p w14:paraId="4C02F54B">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1</w:t>
            </w:r>
          </w:p>
        </w:tc>
        <w:tc>
          <w:tcPr>
            <w:tcW w:w="1305" w:type="dxa"/>
            <w:vAlign w:val="center"/>
          </w:tcPr>
          <w:p w14:paraId="2889213A">
            <w:pPr>
              <w:jc w:val="center"/>
              <w:rPr>
                <w:rFonts w:hint="eastAsia" w:ascii="宋体" w:hAnsi="宋体" w:eastAsia="宋体" w:cs="宋体"/>
                <w:b w:val="0"/>
                <w:bCs/>
                <w:spacing w:val="20"/>
                <w:sz w:val="24"/>
              </w:rPr>
            </w:pPr>
            <w:r>
              <w:rPr>
                <w:rFonts w:hint="eastAsia" w:ascii="宋体" w:hAnsi="宋体" w:eastAsia="宋体" w:cs="宋体"/>
                <w:b w:val="0"/>
                <w:bCs/>
                <w:spacing w:val="20"/>
                <w:sz w:val="24"/>
              </w:rPr>
              <w:t>15</w:t>
            </w:r>
          </w:p>
        </w:tc>
        <w:tc>
          <w:tcPr>
            <w:tcW w:w="2055" w:type="dxa"/>
            <w:vAlign w:val="center"/>
          </w:tcPr>
          <w:p w14:paraId="2FCC85E3">
            <w:pPr>
              <w:keepNext w:val="0"/>
              <w:keepLines w:val="0"/>
              <w:widowControl/>
              <w:suppressLineNumbers w:val="0"/>
              <w:jc w:val="center"/>
              <w:textAlignment w:val="center"/>
              <w:rPr>
                <w:rFonts w:hint="eastAsia" w:ascii="宋体" w:hAnsi="宋体" w:eastAsia="宋体" w:cs="宋体"/>
                <w:b w:val="0"/>
                <w:bCs/>
                <w:spacing w:val="20"/>
                <w:sz w:val="24"/>
                <w:szCs w:val="24"/>
              </w:rPr>
            </w:pPr>
            <w:r>
              <w:rPr>
                <w:rFonts w:hint="eastAsia" w:ascii="宋体" w:hAnsi="宋体" w:eastAsia="宋体" w:cs="宋体"/>
                <w:i w:val="0"/>
                <w:iCs w:val="0"/>
                <w:color w:val="000000"/>
                <w:kern w:val="0"/>
                <w:sz w:val="24"/>
                <w:szCs w:val="24"/>
                <w:u w:val="none"/>
                <w:lang w:val="en-US" w:eastAsia="zh-CN" w:bidi="ar"/>
              </w:rPr>
              <w:t>线上+线下</w:t>
            </w:r>
          </w:p>
        </w:tc>
        <w:tc>
          <w:tcPr>
            <w:tcW w:w="1431" w:type="dxa"/>
            <w:vMerge w:val="continue"/>
            <w:tcBorders/>
            <w:vAlign w:val="center"/>
          </w:tcPr>
          <w:p w14:paraId="54392ACF">
            <w:pPr>
              <w:widowControl/>
              <w:jc w:val="center"/>
              <w:rPr>
                <w:rFonts w:hint="eastAsia" w:ascii="宋体" w:hAnsi="宋体" w:eastAsia="宋体" w:cs="宋体"/>
                <w:b w:val="0"/>
                <w:bCs/>
                <w:spacing w:val="20"/>
                <w:sz w:val="24"/>
              </w:rPr>
            </w:pPr>
          </w:p>
        </w:tc>
      </w:tr>
      <w:tr w14:paraId="10C9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vAlign w:val="center"/>
          </w:tcPr>
          <w:p w14:paraId="668F0166">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经络腧穴</w:t>
            </w:r>
          </w:p>
        </w:tc>
        <w:tc>
          <w:tcPr>
            <w:tcW w:w="1215" w:type="dxa"/>
            <w:vAlign w:val="center"/>
          </w:tcPr>
          <w:p w14:paraId="503584B7">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2</w:t>
            </w:r>
          </w:p>
        </w:tc>
        <w:tc>
          <w:tcPr>
            <w:tcW w:w="1305" w:type="dxa"/>
            <w:vAlign w:val="center"/>
          </w:tcPr>
          <w:p w14:paraId="141F6A40">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32</w:t>
            </w:r>
          </w:p>
        </w:tc>
        <w:tc>
          <w:tcPr>
            <w:tcW w:w="2055" w:type="dxa"/>
            <w:vAlign w:val="center"/>
          </w:tcPr>
          <w:p w14:paraId="6A80090C">
            <w:pPr>
              <w:keepNext w:val="0"/>
              <w:keepLines w:val="0"/>
              <w:widowControl/>
              <w:suppressLineNumbers w:val="0"/>
              <w:jc w:val="center"/>
              <w:textAlignment w:val="center"/>
              <w:rPr>
                <w:rFonts w:hint="eastAsia" w:ascii="宋体" w:hAnsi="宋体" w:eastAsia="宋体" w:cs="宋体"/>
                <w:b w:val="0"/>
                <w:bCs/>
                <w:spacing w:val="20"/>
                <w:sz w:val="24"/>
                <w:szCs w:val="24"/>
              </w:rPr>
            </w:pPr>
            <w:r>
              <w:rPr>
                <w:rFonts w:hint="eastAsia" w:ascii="宋体" w:hAnsi="宋体" w:eastAsia="宋体" w:cs="宋体"/>
                <w:i w:val="0"/>
                <w:iCs w:val="0"/>
                <w:color w:val="000000"/>
                <w:kern w:val="0"/>
                <w:sz w:val="24"/>
                <w:szCs w:val="24"/>
                <w:u w:val="none"/>
                <w:lang w:val="en-US" w:eastAsia="zh-CN" w:bidi="ar"/>
              </w:rPr>
              <w:t>线上+线下</w:t>
            </w:r>
          </w:p>
        </w:tc>
        <w:tc>
          <w:tcPr>
            <w:tcW w:w="1431" w:type="dxa"/>
            <w:vMerge w:val="continue"/>
            <w:tcBorders/>
            <w:vAlign w:val="center"/>
          </w:tcPr>
          <w:p w14:paraId="23B098D0">
            <w:pPr>
              <w:widowControl/>
              <w:jc w:val="center"/>
              <w:rPr>
                <w:rFonts w:hint="eastAsia" w:ascii="宋体" w:hAnsi="宋体" w:eastAsia="宋体" w:cs="宋体"/>
                <w:b w:val="0"/>
                <w:bCs/>
                <w:spacing w:val="20"/>
                <w:sz w:val="24"/>
              </w:rPr>
            </w:pPr>
          </w:p>
        </w:tc>
      </w:tr>
      <w:tr w14:paraId="107E7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vAlign w:val="center"/>
          </w:tcPr>
          <w:p w14:paraId="5DF2D9BC">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推拿学</w:t>
            </w:r>
          </w:p>
        </w:tc>
        <w:tc>
          <w:tcPr>
            <w:tcW w:w="1215" w:type="dxa"/>
            <w:vAlign w:val="center"/>
          </w:tcPr>
          <w:p w14:paraId="2ED04CFD">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2</w:t>
            </w:r>
          </w:p>
        </w:tc>
        <w:tc>
          <w:tcPr>
            <w:tcW w:w="1305" w:type="dxa"/>
            <w:vAlign w:val="center"/>
          </w:tcPr>
          <w:p w14:paraId="0B919035">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27</w:t>
            </w:r>
          </w:p>
        </w:tc>
        <w:tc>
          <w:tcPr>
            <w:tcW w:w="2055" w:type="dxa"/>
            <w:vAlign w:val="center"/>
          </w:tcPr>
          <w:p w14:paraId="739BE6A6">
            <w:pPr>
              <w:keepNext w:val="0"/>
              <w:keepLines w:val="0"/>
              <w:widowControl/>
              <w:suppressLineNumbers w:val="0"/>
              <w:jc w:val="center"/>
              <w:textAlignment w:val="center"/>
              <w:rPr>
                <w:rFonts w:hint="eastAsia" w:ascii="宋体" w:hAnsi="宋体" w:eastAsia="宋体" w:cs="宋体"/>
                <w:b w:val="0"/>
                <w:bCs/>
                <w:spacing w:val="20"/>
                <w:sz w:val="24"/>
                <w:szCs w:val="24"/>
              </w:rPr>
            </w:pPr>
            <w:r>
              <w:rPr>
                <w:rFonts w:hint="eastAsia" w:ascii="宋体" w:hAnsi="宋体" w:eastAsia="宋体" w:cs="宋体"/>
                <w:i w:val="0"/>
                <w:iCs w:val="0"/>
                <w:color w:val="000000"/>
                <w:kern w:val="0"/>
                <w:sz w:val="24"/>
                <w:szCs w:val="24"/>
                <w:u w:val="none"/>
                <w:lang w:val="en-US" w:eastAsia="zh-CN" w:bidi="ar"/>
              </w:rPr>
              <w:t>线上+线下</w:t>
            </w:r>
          </w:p>
        </w:tc>
        <w:tc>
          <w:tcPr>
            <w:tcW w:w="1431" w:type="dxa"/>
            <w:vMerge w:val="continue"/>
            <w:tcBorders/>
            <w:vAlign w:val="center"/>
          </w:tcPr>
          <w:p w14:paraId="2766B888">
            <w:pPr>
              <w:widowControl/>
              <w:jc w:val="center"/>
              <w:rPr>
                <w:rFonts w:hint="eastAsia" w:ascii="宋体" w:hAnsi="宋体" w:eastAsia="宋体" w:cs="宋体"/>
                <w:b w:val="0"/>
                <w:bCs/>
                <w:spacing w:val="20"/>
                <w:sz w:val="24"/>
              </w:rPr>
            </w:pPr>
          </w:p>
        </w:tc>
      </w:tr>
      <w:tr w14:paraId="41AC9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663" w:type="dxa"/>
            <w:vAlign w:val="center"/>
          </w:tcPr>
          <w:p w14:paraId="5C3F067D">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护理实践技能</w:t>
            </w:r>
          </w:p>
        </w:tc>
        <w:tc>
          <w:tcPr>
            <w:tcW w:w="1215" w:type="dxa"/>
            <w:vAlign w:val="center"/>
          </w:tcPr>
          <w:p w14:paraId="728AF2DD">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2</w:t>
            </w:r>
          </w:p>
        </w:tc>
        <w:tc>
          <w:tcPr>
            <w:tcW w:w="1305" w:type="dxa"/>
            <w:vAlign w:val="center"/>
          </w:tcPr>
          <w:p w14:paraId="3005D81F">
            <w:pPr>
              <w:widowControl/>
              <w:jc w:val="center"/>
              <w:rPr>
                <w:rFonts w:hint="eastAsia" w:ascii="宋体" w:hAnsi="宋体" w:eastAsia="宋体" w:cs="宋体"/>
                <w:b w:val="0"/>
                <w:bCs/>
                <w:spacing w:val="20"/>
                <w:sz w:val="24"/>
              </w:rPr>
            </w:pPr>
            <w:r>
              <w:rPr>
                <w:rFonts w:hint="eastAsia" w:ascii="宋体" w:hAnsi="宋体" w:eastAsia="宋体" w:cs="宋体"/>
                <w:b w:val="0"/>
                <w:bCs/>
                <w:spacing w:val="20"/>
                <w:sz w:val="24"/>
              </w:rPr>
              <w:t>26</w:t>
            </w:r>
          </w:p>
        </w:tc>
        <w:tc>
          <w:tcPr>
            <w:tcW w:w="2055" w:type="dxa"/>
            <w:vAlign w:val="center"/>
          </w:tcPr>
          <w:p w14:paraId="3A4BFEF7">
            <w:pPr>
              <w:keepNext w:val="0"/>
              <w:keepLines w:val="0"/>
              <w:widowControl/>
              <w:suppressLineNumbers w:val="0"/>
              <w:jc w:val="center"/>
              <w:textAlignment w:val="center"/>
              <w:rPr>
                <w:rFonts w:hint="eastAsia" w:ascii="宋体" w:hAnsi="宋体" w:eastAsia="宋体" w:cs="宋体"/>
                <w:b w:val="0"/>
                <w:bCs/>
                <w:spacing w:val="20"/>
                <w:sz w:val="24"/>
                <w:szCs w:val="24"/>
              </w:rPr>
            </w:pPr>
            <w:r>
              <w:rPr>
                <w:rFonts w:hint="eastAsia" w:ascii="宋体" w:hAnsi="宋体" w:eastAsia="宋体" w:cs="宋体"/>
                <w:i w:val="0"/>
                <w:iCs w:val="0"/>
                <w:color w:val="000000"/>
                <w:kern w:val="0"/>
                <w:sz w:val="24"/>
                <w:szCs w:val="24"/>
                <w:u w:val="none"/>
                <w:lang w:val="en-US" w:eastAsia="zh-CN" w:bidi="ar"/>
              </w:rPr>
              <w:t>线上+线下</w:t>
            </w:r>
          </w:p>
        </w:tc>
        <w:tc>
          <w:tcPr>
            <w:tcW w:w="1431" w:type="dxa"/>
            <w:vMerge w:val="continue"/>
            <w:tcBorders/>
            <w:vAlign w:val="center"/>
          </w:tcPr>
          <w:p w14:paraId="688175B7">
            <w:pPr>
              <w:widowControl/>
              <w:jc w:val="center"/>
              <w:rPr>
                <w:rFonts w:hint="eastAsia" w:ascii="宋体" w:hAnsi="宋体" w:eastAsia="宋体" w:cs="宋体"/>
                <w:b w:val="0"/>
                <w:bCs/>
                <w:spacing w:val="20"/>
                <w:sz w:val="24"/>
              </w:rPr>
            </w:pPr>
          </w:p>
        </w:tc>
      </w:tr>
    </w:tbl>
    <w:p w14:paraId="028B3E05">
      <w:pPr>
        <w:widowControl/>
        <w:adjustRightInd w:val="0"/>
        <w:snapToGrid w:val="0"/>
        <w:spacing w:line="360" w:lineRule="auto"/>
        <w:ind w:firstLine="560" w:firstLineChars="200"/>
        <w:rPr>
          <w:rFonts w:hint="eastAsia" w:ascii="宋体" w:hAnsi="宋体" w:eastAsia="宋体" w:cs="宋体"/>
          <w:kern w:val="0"/>
          <w:sz w:val="28"/>
          <w:szCs w:val="28"/>
        </w:rPr>
      </w:pPr>
    </w:p>
    <w:p w14:paraId="38ED20A6">
      <w:pPr>
        <w:widowControl/>
        <w:adjustRightInd w:val="0"/>
        <w:snapToGrid w:val="0"/>
        <w:spacing w:line="360" w:lineRule="auto"/>
        <w:ind w:firstLine="562" w:firstLineChars="200"/>
        <w:rPr>
          <w:rFonts w:hint="eastAsia" w:ascii="宋体" w:hAnsi="宋体" w:eastAsia="宋体" w:cs="宋体"/>
          <w:b/>
          <w:bCs/>
          <w:kern w:val="0"/>
          <w:sz w:val="28"/>
          <w:szCs w:val="28"/>
        </w:rPr>
      </w:pPr>
      <w:r>
        <w:rPr>
          <w:rFonts w:hint="eastAsia" w:ascii="宋体" w:hAnsi="宋体" w:eastAsia="宋体" w:cs="宋体"/>
          <w:b/>
          <w:bCs/>
          <w:kern w:val="0"/>
          <w:sz w:val="28"/>
          <w:szCs w:val="28"/>
        </w:rPr>
        <w:t>六、咨询电话</w:t>
      </w:r>
    </w:p>
    <w:p w14:paraId="6ECD0267">
      <w:pPr>
        <w:widowControl/>
        <w:adjustRightInd w:val="0"/>
        <w:snapToGrid w:val="0"/>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联系人：董伟康</w:t>
      </w:r>
    </w:p>
    <w:p w14:paraId="65B5E638">
      <w:pPr>
        <w:widowControl/>
        <w:adjustRightInd w:val="0"/>
        <w:snapToGrid w:val="0"/>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联系电话：13813803801</w:t>
      </w:r>
    </w:p>
    <w:p w14:paraId="0C772A7B">
      <w:pPr>
        <w:widowControl/>
        <w:adjustRightInd w:val="0"/>
        <w:snapToGrid w:val="0"/>
        <w:spacing w:line="360" w:lineRule="auto"/>
        <w:ind w:firstLine="560" w:firstLineChars="200"/>
        <w:rPr>
          <w:rFonts w:hint="eastAsia" w:ascii="宋体" w:hAnsi="宋体" w:eastAsia="宋体" w:cs="宋体"/>
          <w:kern w:val="0"/>
          <w:sz w:val="28"/>
          <w:szCs w:val="28"/>
        </w:rPr>
      </w:pPr>
      <w:r>
        <w:rPr>
          <w:rFonts w:hint="eastAsia" w:ascii="宋体" w:hAnsi="宋体" w:eastAsia="宋体" w:cs="宋体"/>
          <w:kern w:val="0"/>
          <w:sz w:val="28"/>
          <w:szCs w:val="28"/>
        </w:rPr>
        <w:t>办公地点：行政楼307</w:t>
      </w:r>
    </w:p>
    <w:p w14:paraId="2615845A">
      <w:pPr>
        <w:widowControl/>
        <w:adjustRightInd w:val="0"/>
        <w:snapToGrid w:val="0"/>
        <w:spacing w:line="360" w:lineRule="auto"/>
        <w:ind w:firstLine="560" w:firstLineChars="200"/>
        <w:rPr>
          <w:rFonts w:hint="eastAsia" w:ascii="宋体" w:hAnsi="宋体" w:eastAsia="宋体" w:cs="宋体"/>
          <w:strike/>
          <w:kern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8546C"/>
    <w:rsid w:val="002B2A83"/>
    <w:rsid w:val="005D0432"/>
    <w:rsid w:val="007702EC"/>
    <w:rsid w:val="0A4E755F"/>
    <w:rsid w:val="0C08546C"/>
    <w:rsid w:val="1F6E5213"/>
    <w:rsid w:val="235B6444"/>
    <w:rsid w:val="283917B1"/>
    <w:rsid w:val="28D63020"/>
    <w:rsid w:val="295959FF"/>
    <w:rsid w:val="2A32713A"/>
    <w:rsid w:val="2FEA73B1"/>
    <w:rsid w:val="317732C2"/>
    <w:rsid w:val="318850D4"/>
    <w:rsid w:val="321E77E6"/>
    <w:rsid w:val="3589141A"/>
    <w:rsid w:val="388F6C16"/>
    <w:rsid w:val="43DB5537"/>
    <w:rsid w:val="4B0B6702"/>
    <w:rsid w:val="4D925CCD"/>
    <w:rsid w:val="4ED817CF"/>
    <w:rsid w:val="5AA97FC7"/>
    <w:rsid w:val="5E40626B"/>
    <w:rsid w:val="5F6B1C1D"/>
    <w:rsid w:val="61524DEC"/>
    <w:rsid w:val="699C142F"/>
    <w:rsid w:val="7B821819"/>
    <w:rsid w:val="7C3158BE"/>
    <w:rsid w:val="7D491FD6"/>
    <w:rsid w:val="7FE31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1563</Words>
  <Characters>1580</Characters>
  <Lines>251</Lines>
  <Paragraphs>368</Paragraphs>
  <TotalTime>2</TotalTime>
  <ScaleCrop>false</ScaleCrop>
  <LinksUpToDate>false</LinksUpToDate>
  <CharactersWithSpaces>1580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2026-05-08T09:24:00Z</dcterms:created>
  <dc:creator>千叶</dc:creator>
  <cp:lastModifiedBy>穿靴子的猫</cp:lastModifiedBy>
  <cp:lastPrinted>2026-05-28T01:18:00Z</cp:lastPrinted>
  <dcterms:modified xsi:type="dcterms:W3CDTF">2026-06-22T06:34:23Z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41FBEF88D6FB4ED3BA8479CF16BEB38F_11</vt:lpwstr>
  </property>
  <property fmtid="{D5CDD505-2E9C-101B-9397-08002B2CF9AE}" pid="4" name="KSOTemplateDocerSaveRecord">
    <vt:lpwstr>eyJoZGlkIjoiNTRhYjJiZmQ5OWNlYTIwYTZmY2M0ZTg3YTJlZDViZDYiLCJ1c2VySWQiOiI3MTc5MTMwNDgifQ==</vt:lpwstr>
  </property>
</Properties>
</file>