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1AA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0"/>
          <w:sz w:val="32"/>
          <w:szCs w:val="32"/>
        </w:rPr>
      </w:pPr>
      <w:r>
        <w:rPr>
          <w:rFonts w:hint="eastAsia" w:ascii="宋体" w:hAnsi="宋体" w:eastAsia="宋体" w:cs="宋体"/>
          <w:b/>
          <w:bCs/>
          <w:kern w:val="0"/>
          <w:sz w:val="32"/>
          <w:szCs w:val="32"/>
          <w:lang w:val="en-US" w:eastAsia="zh-CN"/>
        </w:rPr>
        <w:t>医院管理微专业</w:t>
      </w:r>
      <w:r>
        <w:rPr>
          <w:rFonts w:hint="eastAsia" w:ascii="宋体" w:hAnsi="宋体" w:eastAsia="宋体" w:cs="宋体"/>
          <w:b/>
          <w:bCs/>
          <w:kern w:val="0"/>
          <w:sz w:val="32"/>
          <w:szCs w:val="32"/>
        </w:rPr>
        <w:t>招生简章</w:t>
      </w:r>
    </w:p>
    <w:p w14:paraId="2E2D5D0E">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一、微专业简介</w:t>
      </w:r>
    </w:p>
    <w:p w14:paraId="6B10780B">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医院管理微专业依托南京医科大学康达学院公共管理学科的深厚底蕴，融合管理学、公共事业管理、经济学等支撑学科，形成“医学+管理”的交叉融合专业特色。本专业聚焦医疗行业管理实际需求，弥补纯医学专业学生管理知识短板，打造兼具医学专业素养与现代医院管理能力的复合型人才。学生毕业后可在各级各类医院、社区卫生服务中心、医疗康养机构、医药企业、卫生行政部门等单位，从事行政运营、科室管理、质量控制、医患沟通、医疗项目策划等相关工作，也可继续深造公共事业管理、社会医学与卫生事业管理等相关专业，在医疗健康管理领域具备差异化竞争优势。</w:t>
      </w:r>
    </w:p>
    <w:p w14:paraId="1B9D77F8">
      <w:pPr>
        <w:widowControl/>
        <w:numPr>
          <w:ilvl w:val="0"/>
          <w:numId w:val="0"/>
        </w:numPr>
        <w:adjustRightInd w:val="0"/>
        <w:snapToGrid w:val="0"/>
        <w:spacing w:line="360" w:lineRule="auto"/>
        <w:ind w:firstLine="562" w:firstLineChars="200"/>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二、培养目标</w:t>
      </w:r>
    </w:p>
    <w:p w14:paraId="12B7EA11">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本专业全面贯彻党和国家的教育方针，契合南京医科大学康达学院应用型医学人才培养定位，适应我国医疗卫生体制改革与健康中国战略发展需要，精准对接医疗行业高质量管理的人才需求。本微专业培养具有国际视野和现代医院管理理念，掌握现代医院管理核心知识与实操技能，具备良好的职业素养、沟通协调能力、问题解决能力和创新思维的复合型、应用型医院管理人才。结业学生的核心竞争优势体现为懂医学、会管理、能实操，可快速适配医疗行业各类管理岗位的工作要求，成为医疗健康管理领域的后备骨干力量。</w:t>
      </w:r>
    </w:p>
    <w:p w14:paraId="2E91610B">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三、招生对象</w:t>
      </w:r>
    </w:p>
    <w:p w14:paraId="4FD79D8D">
      <w:pPr>
        <w:widowControl/>
        <w:numPr>
          <w:ilvl w:val="0"/>
          <w:numId w:val="0"/>
        </w:numPr>
        <w:adjustRightInd w:val="0"/>
        <w:snapToGrid w:val="0"/>
        <w:spacing w:line="360" w:lineRule="auto"/>
        <w:ind w:firstLine="560" w:firstLineChars="200"/>
        <w:jc w:val="both"/>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2024-2025级临床医学、护理学专业学生；</w:t>
      </w:r>
    </w:p>
    <w:p w14:paraId="2FDA9BC9">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具备一定的逻辑思维、沟通表达和文字写作能力；对医院管理、医疗卫生行业运营工作有兴趣，有志于从事临床科室管理、卫生行政等相关工作。</w:t>
      </w:r>
    </w:p>
    <w:p w14:paraId="2520D691">
      <w:pPr>
        <w:widowControl/>
        <w:adjustRightInd w:val="0"/>
        <w:snapToGrid w:val="0"/>
        <w:spacing w:line="360" w:lineRule="auto"/>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四、招生计划</w:t>
      </w:r>
    </w:p>
    <w:p w14:paraId="7AD36DA4">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30人</w:t>
      </w:r>
    </w:p>
    <w:p w14:paraId="59ED089C">
      <w:pPr>
        <w:widowControl/>
        <w:adjustRightInd w:val="0"/>
        <w:snapToGrid w:val="0"/>
        <w:spacing w:line="360" w:lineRule="auto"/>
        <w:ind w:firstLine="562" w:firstLineChars="200"/>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五、教学计划及授课安排</w:t>
      </w:r>
    </w:p>
    <w:tbl>
      <w:tblPr>
        <w:tblStyle w:val="3"/>
        <w:tblW w:w="8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3"/>
        <w:gridCol w:w="1215"/>
        <w:gridCol w:w="1305"/>
        <w:gridCol w:w="2055"/>
        <w:gridCol w:w="1431"/>
      </w:tblGrid>
      <w:tr w14:paraId="1201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663" w:type="dxa"/>
            <w:noWrap w:val="0"/>
            <w:vAlign w:val="center"/>
          </w:tcPr>
          <w:p w14:paraId="228705E7">
            <w:pPr>
              <w:widowControl/>
              <w:jc w:val="center"/>
              <w:rPr>
                <w:rFonts w:hint="eastAsia" w:ascii="宋体" w:hAnsi="宋体" w:eastAsia="宋体" w:cs="宋体"/>
                <w:b/>
                <w:bCs w:val="0"/>
                <w:spacing w:val="20"/>
                <w:sz w:val="22"/>
                <w:szCs w:val="22"/>
                <w:lang w:eastAsia="zh-CN"/>
              </w:rPr>
            </w:pPr>
            <w:r>
              <w:rPr>
                <w:rFonts w:hint="eastAsia" w:ascii="宋体" w:hAnsi="宋体" w:eastAsia="宋体" w:cs="宋体"/>
                <w:b/>
                <w:bCs w:val="0"/>
                <w:sz w:val="22"/>
                <w:szCs w:val="22"/>
              </w:rPr>
              <w:t>课程名称</w:t>
            </w:r>
          </w:p>
        </w:tc>
        <w:tc>
          <w:tcPr>
            <w:tcW w:w="1215" w:type="dxa"/>
            <w:noWrap w:val="0"/>
            <w:vAlign w:val="center"/>
          </w:tcPr>
          <w:p w14:paraId="64F0962F">
            <w:pPr>
              <w:widowControl/>
              <w:jc w:val="center"/>
              <w:rPr>
                <w:rFonts w:hint="eastAsia" w:ascii="宋体" w:hAnsi="宋体" w:eastAsia="宋体" w:cs="宋体"/>
                <w:b/>
                <w:bCs w:val="0"/>
                <w:spacing w:val="20"/>
                <w:sz w:val="22"/>
                <w:szCs w:val="22"/>
                <w:lang w:val="en-US" w:eastAsia="zh-CN" w:bidi="ar-SA"/>
              </w:rPr>
            </w:pPr>
            <w:r>
              <w:rPr>
                <w:rFonts w:hint="eastAsia" w:ascii="宋体" w:hAnsi="宋体" w:eastAsia="宋体" w:cs="宋体"/>
                <w:b/>
                <w:bCs w:val="0"/>
                <w:sz w:val="22"/>
                <w:szCs w:val="22"/>
              </w:rPr>
              <w:t>学分</w:t>
            </w:r>
          </w:p>
        </w:tc>
        <w:tc>
          <w:tcPr>
            <w:tcW w:w="1305" w:type="dxa"/>
            <w:noWrap w:val="0"/>
            <w:vAlign w:val="center"/>
          </w:tcPr>
          <w:p w14:paraId="77E60E57">
            <w:pPr>
              <w:jc w:val="center"/>
              <w:rPr>
                <w:rFonts w:hint="eastAsia" w:ascii="宋体" w:hAnsi="宋体" w:eastAsia="宋体" w:cs="宋体"/>
                <w:b/>
                <w:bCs w:val="0"/>
                <w:spacing w:val="20"/>
                <w:sz w:val="22"/>
                <w:szCs w:val="22"/>
                <w:lang w:val="en-US" w:eastAsia="zh-CN"/>
              </w:rPr>
            </w:pPr>
            <w:r>
              <w:rPr>
                <w:rFonts w:hint="eastAsia" w:ascii="宋体" w:hAnsi="宋体" w:eastAsia="宋体" w:cs="宋体"/>
                <w:b/>
                <w:bCs w:val="0"/>
                <w:sz w:val="22"/>
                <w:szCs w:val="22"/>
              </w:rPr>
              <w:t>总学时</w:t>
            </w:r>
          </w:p>
        </w:tc>
        <w:tc>
          <w:tcPr>
            <w:tcW w:w="2055" w:type="dxa"/>
            <w:noWrap w:val="0"/>
            <w:vAlign w:val="center"/>
          </w:tcPr>
          <w:p w14:paraId="7072D9D5">
            <w:pPr>
              <w:widowControl/>
              <w:jc w:val="center"/>
              <w:rPr>
                <w:rFonts w:hint="eastAsia" w:ascii="宋体" w:hAnsi="宋体" w:eastAsia="宋体" w:cs="宋体"/>
                <w:b/>
                <w:bCs w:val="0"/>
                <w:color w:val="auto"/>
                <w:spacing w:val="20"/>
                <w:sz w:val="22"/>
                <w:szCs w:val="22"/>
                <w:lang w:val="en-US" w:eastAsia="zh-CN"/>
              </w:rPr>
            </w:pPr>
            <w:r>
              <w:rPr>
                <w:rFonts w:hint="eastAsia" w:ascii="宋体" w:hAnsi="宋体" w:eastAsia="宋体" w:cs="宋体"/>
                <w:b/>
                <w:bCs w:val="0"/>
                <w:color w:val="auto"/>
                <w:spacing w:val="20"/>
                <w:sz w:val="22"/>
                <w:szCs w:val="22"/>
                <w:lang w:val="en-US" w:eastAsia="zh-CN"/>
              </w:rPr>
              <w:t>开课形式</w:t>
            </w:r>
          </w:p>
        </w:tc>
        <w:tc>
          <w:tcPr>
            <w:tcW w:w="1431" w:type="dxa"/>
            <w:noWrap w:val="0"/>
            <w:vAlign w:val="center"/>
          </w:tcPr>
          <w:p w14:paraId="2E14E704">
            <w:pPr>
              <w:widowControl/>
              <w:jc w:val="center"/>
              <w:rPr>
                <w:rFonts w:hint="default" w:ascii="宋体" w:hAnsi="宋体" w:eastAsia="宋体" w:cs="宋体"/>
                <w:b/>
                <w:bCs w:val="0"/>
                <w:color w:val="auto"/>
                <w:spacing w:val="20"/>
                <w:sz w:val="22"/>
                <w:szCs w:val="22"/>
                <w:lang w:val="en-US" w:eastAsia="zh-CN"/>
              </w:rPr>
            </w:pPr>
            <w:r>
              <w:rPr>
                <w:rFonts w:hint="eastAsia" w:ascii="宋体" w:hAnsi="宋体" w:eastAsia="宋体" w:cs="宋体"/>
                <w:b/>
                <w:bCs w:val="0"/>
                <w:color w:val="auto"/>
                <w:spacing w:val="20"/>
                <w:sz w:val="22"/>
                <w:szCs w:val="22"/>
                <w:lang w:val="en-US" w:eastAsia="zh-CN"/>
              </w:rPr>
              <w:t>修业年限</w:t>
            </w:r>
          </w:p>
        </w:tc>
      </w:tr>
      <w:tr w14:paraId="10C9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668F0166">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kern w:val="0"/>
                <w:sz w:val="24"/>
                <w:szCs w:val="24"/>
                <w:lang w:val="en-US" w:eastAsia="zh-CN"/>
              </w:rPr>
              <w:t>卫生事业管理学</w:t>
            </w:r>
          </w:p>
        </w:tc>
        <w:tc>
          <w:tcPr>
            <w:tcW w:w="1215" w:type="dxa"/>
            <w:noWrap w:val="0"/>
            <w:vAlign w:val="center"/>
          </w:tcPr>
          <w:p w14:paraId="503584B7">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color w:val="auto"/>
                <w:spacing w:val="20"/>
                <w:sz w:val="24"/>
                <w:szCs w:val="24"/>
                <w:lang w:val="en-US" w:eastAsia="zh-CN"/>
              </w:rPr>
              <w:t>2</w:t>
            </w:r>
          </w:p>
        </w:tc>
        <w:tc>
          <w:tcPr>
            <w:tcW w:w="1305" w:type="dxa"/>
            <w:noWrap w:val="0"/>
            <w:vAlign w:val="center"/>
          </w:tcPr>
          <w:p w14:paraId="141F6A40">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color w:val="auto"/>
                <w:spacing w:val="20"/>
                <w:sz w:val="24"/>
                <w:szCs w:val="24"/>
                <w:lang w:val="en-US" w:eastAsia="zh-CN"/>
              </w:rPr>
              <w:t>32</w:t>
            </w:r>
          </w:p>
        </w:tc>
        <w:tc>
          <w:tcPr>
            <w:tcW w:w="2055" w:type="dxa"/>
            <w:noWrap w:val="0"/>
            <w:vAlign w:val="center"/>
          </w:tcPr>
          <w:p w14:paraId="6A80090C">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color w:val="auto"/>
                <w:spacing w:val="20"/>
                <w:sz w:val="24"/>
                <w:szCs w:val="24"/>
                <w:lang w:val="en-US" w:eastAsia="zh-CN"/>
              </w:rPr>
              <w:t>线上+线下</w:t>
            </w:r>
          </w:p>
        </w:tc>
        <w:tc>
          <w:tcPr>
            <w:tcW w:w="1431" w:type="dxa"/>
            <w:vMerge w:val="restart"/>
            <w:noWrap w:val="0"/>
            <w:vAlign w:val="center"/>
          </w:tcPr>
          <w:p w14:paraId="7AC04C23">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color w:val="auto"/>
                <w:spacing w:val="20"/>
                <w:sz w:val="24"/>
                <w:szCs w:val="24"/>
                <w:lang w:val="en-US" w:eastAsia="zh-CN"/>
              </w:rPr>
              <w:t>2年</w:t>
            </w:r>
          </w:p>
        </w:tc>
      </w:tr>
      <w:tr w14:paraId="107E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5DF2D9BC">
            <w:pPr>
              <w:widowControl/>
              <w:jc w:val="center"/>
              <w:rPr>
                <w:rFonts w:hint="eastAsia" w:ascii="宋体" w:hAnsi="宋体" w:eastAsia="宋体" w:cs="宋体"/>
                <w:b w:val="0"/>
                <w:bCs w:val="0"/>
                <w:color w:val="auto"/>
                <w:spacing w:val="20"/>
                <w:sz w:val="24"/>
                <w:szCs w:val="24"/>
              </w:rPr>
            </w:pPr>
            <w:r>
              <w:rPr>
                <w:rFonts w:hint="eastAsia" w:ascii="宋体" w:hAnsi="宋体" w:eastAsia="宋体" w:cs="宋体"/>
                <w:b w:val="0"/>
                <w:bCs w:val="0"/>
                <w:kern w:val="0"/>
                <w:sz w:val="24"/>
                <w:szCs w:val="24"/>
                <w:lang w:val="en-US" w:eastAsia="zh-CN"/>
              </w:rPr>
              <w:t>卫生经济学</w:t>
            </w:r>
          </w:p>
        </w:tc>
        <w:tc>
          <w:tcPr>
            <w:tcW w:w="1215" w:type="dxa"/>
            <w:noWrap w:val="0"/>
            <w:vAlign w:val="center"/>
          </w:tcPr>
          <w:p w14:paraId="2ED04CFD">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kern w:val="0"/>
                <w:sz w:val="24"/>
                <w:szCs w:val="24"/>
                <w:lang w:val="en-US" w:eastAsia="zh-CN"/>
              </w:rPr>
              <w:t>2</w:t>
            </w:r>
          </w:p>
        </w:tc>
        <w:tc>
          <w:tcPr>
            <w:tcW w:w="1305" w:type="dxa"/>
            <w:noWrap w:val="0"/>
            <w:vAlign w:val="center"/>
          </w:tcPr>
          <w:p w14:paraId="0B919035">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kern w:val="0"/>
                <w:sz w:val="24"/>
                <w:szCs w:val="24"/>
                <w:lang w:val="en-US" w:eastAsia="zh-CN"/>
              </w:rPr>
              <w:t>32</w:t>
            </w:r>
          </w:p>
        </w:tc>
        <w:tc>
          <w:tcPr>
            <w:tcW w:w="2055" w:type="dxa"/>
            <w:shd w:val="clear" w:color="auto" w:fill="auto"/>
            <w:noWrap w:val="0"/>
            <w:vAlign w:val="center"/>
          </w:tcPr>
          <w:p w14:paraId="739BE6A6">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color w:val="auto"/>
                <w:spacing w:val="20"/>
                <w:sz w:val="24"/>
                <w:szCs w:val="24"/>
                <w:lang w:val="en-US" w:eastAsia="zh-CN"/>
              </w:rPr>
              <w:t>线上+线下</w:t>
            </w:r>
          </w:p>
        </w:tc>
        <w:tc>
          <w:tcPr>
            <w:tcW w:w="1431" w:type="dxa"/>
            <w:vMerge w:val="continue"/>
            <w:tcBorders/>
            <w:shd w:val="clear" w:color="auto" w:fill="auto"/>
            <w:noWrap w:val="0"/>
            <w:vAlign w:val="center"/>
          </w:tcPr>
          <w:p w14:paraId="2766B888">
            <w:pPr>
              <w:widowControl/>
              <w:jc w:val="center"/>
              <w:rPr>
                <w:rFonts w:hint="eastAsia" w:ascii="宋体" w:hAnsi="宋体" w:eastAsia="宋体" w:cs="宋体"/>
                <w:b w:val="0"/>
                <w:bCs w:val="0"/>
                <w:kern w:val="0"/>
                <w:sz w:val="24"/>
                <w:szCs w:val="24"/>
                <w:lang w:val="en-US" w:eastAsia="zh-CN"/>
              </w:rPr>
            </w:pPr>
          </w:p>
        </w:tc>
      </w:tr>
      <w:tr w14:paraId="41AC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5C3F067D">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卫生人力资源管理</w:t>
            </w:r>
          </w:p>
        </w:tc>
        <w:tc>
          <w:tcPr>
            <w:tcW w:w="1215" w:type="dxa"/>
            <w:shd w:val="clear" w:color="auto" w:fill="auto"/>
            <w:noWrap w:val="0"/>
            <w:vAlign w:val="center"/>
          </w:tcPr>
          <w:p w14:paraId="728AF2DD">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2</w:t>
            </w:r>
          </w:p>
        </w:tc>
        <w:tc>
          <w:tcPr>
            <w:tcW w:w="1305" w:type="dxa"/>
            <w:shd w:val="clear" w:color="auto" w:fill="auto"/>
            <w:noWrap w:val="0"/>
            <w:vAlign w:val="center"/>
          </w:tcPr>
          <w:p w14:paraId="3005D81F">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32</w:t>
            </w:r>
          </w:p>
        </w:tc>
        <w:tc>
          <w:tcPr>
            <w:tcW w:w="2055" w:type="dxa"/>
            <w:noWrap w:val="0"/>
            <w:vAlign w:val="center"/>
          </w:tcPr>
          <w:p w14:paraId="3A4BFEF7">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color w:val="auto"/>
                <w:spacing w:val="20"/>
                <w:sz w:val="24"/>
                <w:szCs w:val="24"/>
                <w:lang w:val="en-US" w:eastAsia="zh-CN"/>
              </w:rPr>
              <w:t>线上+线下</w:t>
            </w:r>
          </w:p>
        </w:tc>
        <w:tc>
          <w:tcPr>
            <w:tcW w:w="1431" w:type="dxa"/>
            <w:vMerge w:val="continue"/>
            <w:tcBorders/>
            <w:noWrap w:val="0"/>
            <w:vAlign w:val="center"/>
          </w:tcPr>
          <w:p w14:paraId="688175B7">
            <w:pPr>
              <w:widowControl/>
              <w:jc w:val="center"/>
              <w:rPr>
                <w:rFonts w:hint="eastAsia" w:ascii="宋体" w:hAnsi="宋体" w:eastAsia="宋体" w:cs="宋体"/>
                <w:b w:val="0"/>
                <w:bCs w:val="0"/>
                <w:kern w:val="0"/>
                <w:sz w:val="24"/>
                <w:szCs w:val="24"/>
                <w:lang w:val="en-US" w:eastAsia="zh-CN"/>
              </w:rPr>
            </w:pPr>
          </w:p>
        </w:tc>
      </w:tr>
      <w:tr w14:paraId="0363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4ED3B396">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卫生财务与管理</w:t>
            </w:r>
          </w:p>
        </w:tc>
        <w:tc>
          <w:tcPr>
            <w:tcW w:w="1215" w:type="dxa"/>
            <w:shd w:val="clear" w:color="auto" w:fill="auto"/>
            <w:noWrap w:val="0"/>
            <w:vAlign w:val="center"/>
          </w:tcPr>
          <w:p w14:paraId="71E605AF">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w:t>
            </w:r>
          </w:p>
        </w:tc>
        <w:tc>
          <w:tcPr>
            <w:tcW w:w="1305" w:type="dxa"/>
            <w:shd w:val="clear" w:color="auto" w:fill="auto"/>
            <w:noWrap w:val="0"/>
            <w:vAlign w:val="center"/>
          </w:tcPr>
          <w:p w14:paraId="0CD7DCE8">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48</w:t>
            </w:r>
          </w:p>
        </w:tc>
        <w:tc>
          <w:tcPr>
            <w:tcW w:w="2055" w:type="dxa"/>
            <w:noWrap w:val="0"/>
            <w:vAlign w:val="center"/>
          </w:tcPr>
          <w:p w14:paraId="04621656">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color w:val="auto"/>
                <w:spacing w:val="20"/>
                <w:sz w:val="24"/>
                <w:szCs w:val="24"/>
                <w:lang w:val="en-US" w:eastAsia="zh-CN"/>
              </w:rPr>
              <w:t>线上+线下</w:t>
            </w:r>
          </w:p>
        </w:tc>
        <w:tc>
          <w:tcPr>
            <w:tcW w:w="1431" w:type="dxa"/>
            <w:vMerge w:val="continue"/>
            <w:tcBorders/>
            <w:noWrap w:val="0"/>
            <w:vAlign w:val="center"/>
          </w:tcPr>
          <w:p w14:paraId="755CB5B0">
            <w:pPr>
              <w:widowControl/>
              <w:jc w:val="center"/>
              <w:rPr>
                <w:rFonts w:hint="eastAsia" w:ascii="宋体" w:hAnsi="宋体" w:eastAsia="宋体" w:cs="宋体"/>
                <w:b w:val="0"/>
                <w:bCs w:val="0"/>
                <w:kern w:val="0"/>
                <w:sz w:val="24"/>
                <w:szCs w:val="24"/>
                <w:lang w:val="en-US" w:eastAsia="zh-CN"/>
              </w:rPr>
            </w:pPr>
          </w:p>
        </w:tc>
      </w:tr>
      <w:tr w14:paraId="4A36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noWrap w:val="0"/>
            <w:vAlign w:val="center"/>
          </w:tcPr>
          <w:p w14:paraId="2AD4EF7A">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医院管理学</w:t>
            </w:r>
          </w:p>
        </w:tc>
        <w:tc>
          <w:tcPr>
            <w:tcW w:w="1215" w:type="dxa"/>
            <w:shd w:val="clear" w:color="auto" w:fill="auto"/>
            <w:noWrap w:val="0"/>
            <w:vAlign w:val="center"/>
          </w:tcPr>
          <w:p w14:paraId="36498D05">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2</w:t>
            </w:r>
          </w:p>
        </w:tc>
        <w:tc>
          <w:tcPr>
            <w:tcW w:w="1305" w:type="dxa"/>
            <w:shd w:val="clear" w:color="auto" w:fill="auto"/>
            <w:noWrap w:val="0"/>
            <w:vAlign w:val="center"/>
          </w:tcPr>
          <w:p w14:paraId="28A00869">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32</w:t>
            </w:r>
          </w:p>
        </w:tc>
        <w:tc>
          <w:tcPr>
            <w:tcW w:w="2055" w:type="dxa"/>
            <w:noWrap w:val="0"/>
            <w:vAlign w:val="center"/>
          </w:tcPr>
          <w:p w14:paraId="3986EF53">
            <w:pPr>
              <w:widowControl/>
              <w:jc w:val="center"/>
              <w:rPr>
                <w:rFonts w:hint="eastAsia" w:ascii="宋体" w:hAnsi="宋体" w:eastAsia="宋体" w:cs="宋体"/>
                <w:b w:val="0"/>
                <w:bCs w:val="0"/>
                <w:color w:val="auto"/>
                <w:spacing w:val="20"/>
                <w:sz w:val="24"/>
                <w:szCs w:val="24"/>
                <w:lang w:val="en-US" w:eastAsia="zh-CN"/>
              </w:rPr>
            </w:pPr>
            <w:r>
              <w:rPr>
                <w:rFonts w:hint="eastAsia" w:ascii="宋体" w:hAnsi="宋体" w:eastAsia="宋体" w:cs="宋体"/>
                <w:b w:val="0"/>
                <w:bCs w:val="0"/>
                <w:color w:val="auto"/>
                <w:spacing w:val="20"/>
                <w:sz w:val="24"/>
                <w:szCs w:val="24"/>
                <w:lang w:val="en-US" w:eastAsia="zh-CN"/>
              </w:rPr>
              <w:t>线上+线下</w:t>
            </w:r>
          </w:p>
        </w:tc>
        <w:tc>
          <w:tcPr>
            <w:tcW w:w="1431" w:type="dxa"/>
            <w:vMerge w:val="continue"/>
            <w:tcBorders/>
            <w:noWrap w:val="0"/>
            <w:vAlign w:val="center"/>
          </w:tcPr>
          <w:p w14:paraId="5CB586EC">
            <w:pPr>
              <w:widowControl/>
              <w:jc w:val="center"/>
              <w:rPr>
                <w:rFonts w:hint="eastAsia" w:ascii="宋体" w:hAnsi="宋体" w:eastAsia="宋体" w:cs="宋体"/>
                <w:b w:val="0"/>
                <w:bCs w:val="0"/>
                <w:kern w:val="0"/>
                <w:sz w:val="24"/>
                <w:szCs w:val="24"/>
                <w:lang w:val="en-US" w:eastAsia="zh-CN"/>
              </w:rPr>
            </w:pPr>
          </w:p>
        </w:tc>
      </w:tr>
    </w:tbl>
    <w:p w14:paraId="041B6398">
      <w:pPr>
        <w:widowControl/>
        <w:numPr>
          <w:ilvl w:val="0"/>
          <w:numId w:val="0"/>
        </w:numPr>
        <w:adjustRightInd w:val="0"/>
        <w:snapToGrid w:val="0"/>
        <w:spacing w:line="360" w:lineRule="auto"/>
        <w:ind w:firstLine="560" w:firstLineChars="200"/>
        <w:jc w:val="both"/>
        <w:rPr>
          <w:rFonts w:hint="eastAsia" w:ascii="宋体" w:hAnsi="宋体" w:eastAsia="宋体" w:cs="宋体"/>
          <w:b w:val="0"/>
          <w:bCs w:val="0"/>
          <w:kern w:val="0"/>
          <w:sz w:val="28"/>
          <w:szCs w:val="28"/>
          <w:lang w:val="en-US" w:eastAsia="zh-CN"/>
        </w:rPr>
      </w:pPr>
    </w:p>
    <w:p w14:paraId="38ED20A6">
      <w:pPr>
        <w:widowControl/>
        <w:numPr>
          <w:ilvl w:val="0"/>
          <w:numId w:val="0"/>
        </w:numPr>
        <w:adjustRightInd w:val="0"/>
        <w:snapToGrid w:val="0"/>
        <w:spacing w:line="360" w:lineRule="auto"/>
        <w:ind w:firstLine="562" w:firstLineChars="200"/>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bidi="ar-SA"/>
        </w:rPr>
        <w:t>六、</w:t>
      </w:r>
      <w:r>
        <w:rPr>
          <w:rFonts w:hint="eastAsia" w:ascii="宋体" w:hAnsi="宋体" w:eastAsia="宋体" w:cs="宋体"/>
          <w:b/>
          <w:bCs/>
          <w:kern w:val="0"/>
          <w:sz w:val="28"/>
          <w:szCs w:val="28"/>
          <w:lang w:val="en-US" w:eastAsia="zh-CN"/>
        </w:rPr>
        <w:t>咨询电话</w:t>
      </w:r>
    </w:p>
    <w:p w14:paraId="6ECD0267">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联系人：谢坤</w:t>
      </w:r>
    </w:p>
    <w:p w14:paraId="65B5E638">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联系电话：15251219393</w:t>
      </w:r>
    </w:p>
    <w:p w14:paraId="0C772A7B">
      <w:pPr>
        <w:widowControl/>
        <w:numPr>
          <w:ilvl w:val="0"/>
          <w:numId w:val="0"/>
        </w:numPr>
        <w:adjustRightInd w:val="0"/>
        <w:snapToGrid w:val="0"/>
        <w:spacing w:line="360" w:lineRule="auto"/>
        <w:ind w:firstLine="560" w:firstLineChars="200"/>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办公地点：5-317-1</w:t>
      </w:r>
      <w:bookmarkStart w:id="0" w:name="_GoBack"/>
      <w:bookmarkEnd w:id="0"/>
    </w:p>
    <w:p w14:paraId="2615845A">
      <w:pPr>
        <w:widowControl/>
        <w:adjustRightInd w:val="0"/>
        <w:snapToGrid w:val="0"/>
        <w:spacing w:line="360" w:lineRule="auto"/>
        <w:ind w:firstLine="560" w:firstLineChars="200"/>
        <w:rPr>
          <w:rFonts w:hint="eastAsia" w:ascii="宋体" w:hAnsi="宋体" w:eastAsia="宋体" w:cs="宋体"/>
          <w:strike/>
          <w:dstrike w:val="0"/>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5ODJkMzJiNGE1ODg4MThiMjljNzRlZmE0NTVkMTYifQ=="/>
  </w:docVars>
  <w:rsids>
    <w:rsidRoot w:val="0C08546C"/>
    <w:rsid w:val="0A4E755F"/>
    <w:rsid w:val="0C08546C"/>
    <w:rsid w:val="1A9753EC"/>
    <w:rsid w:val="1F6E5213"/>
    <w:rsid w:val="235B6444"/>
    <w:rsid w:val="283917B1"/>
    <w:rsid w:val="295959FF"/>
    <w:rsid w:val="2FEA73B1"/>
    <w:rsid w:val="317732C2"/>
    <w:rsid w:val="318850D4"/>
    <w:rsid w:val="3589141A"/>
    <w:rsid w:val="388F6C16"/>
    <w:rsid w:val="4B0B6702"/>
    <w:rsid w:val="4D925CCD"/>
    <w:rsid w:val="4ED817CF"/>
    <w:rsid w:val="5AA97FC7"/>
    <w:rsid w:val="5E40626B"/>
    <w:rsid w:val="5EE5AA40"/>
    <w:rsid w:val="5F6B1C1D"/>
    <w:rsid w:val="699C142F"/>
    <w:rsid w:val="76074BCB"/>
    <w:rsid w:val="7B821819"/>
    <w:rsid w:val="7D491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775</Words>
  <Characters>802</Characters>
  <Lines>0</Lines>
  <Paragraphs>0</Paragraphs>
  <TotalTime>2</TotalTime>
  <ScaleCrop>false</ScaleCrop>
  <LinksUpToDate>false</LinksUpToDate>
  <CharactersWithSpaces>802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2026-05-08T17:24:00Z</dcterms:created>
  <dc:creator>千叶</dc:creator>
  <cp:lastModifiedBy>穿靴子的猫</cp:lastModifiedBy>
  <dcterms:modified xsi:type="dcterms:W3CDTF">2026-06-08T01:13:43Z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41FBEF88D6FB4ED3BA8479CF16BEB38F_11</vt:lpwstr>
  </property>
  <property fmtid="{D5CDD505-2E9C-101B-9397-08002B2CF9AE}" pid="4" name="KSOTemplateDocerSaveRecord">
    <vt:lpwstr>eyJoZGlkIjoiNTRhYjJiZmQ5OWNlYTIwYTZmY2M0ZTg3YTJlZDViZDYiLCJ1c2VySWQiOiI3MTc5MTMwNDgifQ==</vt:lpwstr>
  </property>
</Properties>
</file>