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91AAD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kern w:val="0"/>
          <w:sz w:val="32"/>
          <w:szCs w:val="32"/>
        </w:rPr>
      </w:pPr>
      <w:r>
        <w:rPr>
          <w:rFonts w:hint="eastAsia" w:ascii="宋体" w:hAnsi="宋体" w:eastAsia="宋体" w:cs="宋体"/>
          <w:b/>
          <w:bCs/>
          <w:kern w:val="0"/>
          <w:sz w:val="32"/>
          <w:szCs w:val="32"/>
          <w:lang w:val="en-US" w:eastAsia="zh-CN"/>
        </w:rPr>
        <w:t>医学英语与国际医疗服务微专业招生简章</w:t>
      </w:r>
    </w:p>
    <w:p w14:paraId="2E2D5D0E">
      <w:pPr>
        <w:widowControl/>
        <w:adjustRightInd w:val="0"/>
        <w:snapToGrid w:val="0"/>
        <w:spacing w:line="360" w:lineRule="auto"/>
        <w:ind w:firstLine="562" w:firstLineChars="200"/>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一、微专业简介</w:t>
      </w:r>
    </w:p>
    <w:p w14:paraId="1815D355">
      <w:pPr>
        <w:widowControl/>
        <w:numPr>
          <w:ilvl w:val="0"/>
          <w:numId w:val="0"/>
        </w:numPr>
        <w:adjustRightInd w:val="0"/>
        <w:snapToGrid w:val="0"/>
        <w:spacing w:line="360" w:lineRule="auto"/>
        <w:ind w:firstLine="560" w:firstLineChars="200"/>
        <w:jc w:val="both"/>
        <w:rPr>
          <w:rFonts w:hint="eastAsia" w:ascii="宋体" w:hAnsi="宋体" w:eastAsia="宋体" w:cs="宋体"/>
          <w:b w:val="0"/>
          <w:bCs w:val="0"/>
          <w:kern w:val="0"/>
          <w:sz w:val="28"/>
          <w:szCs w:val="28"/>
          <w:lang w:val="en-US" w:eastAsia="zh-CN"/>
        </w:rPr>
      </w:pPr>
      <w:r>
        <w:rPr>
          <w:rFonts w:hint="eastAsia" w:ascii="宋体" w:hAnsi="宋体" w:eastAsia="宋体" w:cs="宋体"/>
          <w:b w:val="0"/>
          <w:bCs w:val="0"/>
          <w:kern w:val="0"/>
          <w:sz w:val="28"/>
          <w:szCs w:val="28"/>
          <w:lang w:val="en-US" w:eastAsia="zh-CN"/>
        </w:rPr>
        <w:t>为适应医学教育国际化发展趋势，服务学校应用型医学人才培养目标，提升学生医学英语应用能力、跨文化沟通能力和国际医疗服务实践能力，南京医科大学康达学院外国语学部拟面向相关专业本科生开设“医学英语与国际医疗服务”微专业。现将招生有关事项公布如下。</w:t>
      </w:r>
    </w:p>
    <w:p w14:paraId="1B9D77F8">
      <w:pPr>
        <w:widowControl/>
        <w:adjustRightInd w:val="0"/>
        <w:snapToGrid w:val="0"/>
        <w:spacing w:line="360" w:lineRule="auto"/>
        <w:ind w:firstLine="562" w:firstLineChars="200"/>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二、培养目标</w:t>
      </w:r>
    </w:p>
    <w:p w14:paraId="261F7BEE">
      <w:pPr>
        <w:widowControl/>
        <w:numPr>
          <w:ilvl w:val="0"/>
          <w:numId w:val="0"/>
        </w:numPr>
        <w:adjustRightInd w:val="0"/>
        <w:snapToGrid w:val="0"/>
        <w:spacing w:line="360" w:lineRule="auto"/>
        <w:ind w:firstLine="560" w:firstLineChars="200"/>
        <w:jc w:val="both"/>
        <w:rPr>
          <w:rFonts w:hint="eastAsia" w:ascii="宋体" w:hAnsi="宋体" w:eastAsia="宋体" w:cs="宋体"/>
          <w:b w:val="0"/>
          <w:bCs w:val="0"/>
          <w:kern w:val="0"/>
          <w:sz w:val="28"/>
          <w:szCs w:val="28"/>
          <w:lang w:val="en-US" w:eastAsia="zh-CN"/>
        </w:rPr>
      </w:pPr>
      <w:r>
        <w:rPr>
          <w:rFonts w:hint="eastAsia" w:ascii="宋体" w:hAnsi="宋体" w:eastAsia="宋体" w:cs="宋体"/>
          <w:b w:val="0"/>
          <w:bCs w:val="0"/>
          <w:kern w:val="0"/>
          <w:sz w:val="28"/>
          <w:szCs w:val="28"/>
          <w:lang w:val="en-US" w:eastAsia="zh-CN"/>
        </w:rPr>
        <w:t>“医学英语与国际医疗服务”微专业依托外国语学部医学英语教学基础和学校医学类专业人才培养优势，围绕“医学+英语+服务”三重融合理念，面向国际医疗服务、涉外医患沟通、医学翻译、公共卫生传播和国际医疗合作等实际需求，培养具备医学英语应用能力、跨文化沟通能力和国际医疗服务实践能力的复合型应用人才。</w:t>
      </w:r>
    </w:p>
    <w:p w14:paraId="46089939">
      <w:pPr>
        <w:widowControl/>
        <w:numPr>
          <w:ilvl w:val="0"/>
          <w:numId w:val="0"/>
        </w:numPr>
        <w:adjustRightInd w:val="0"/>
        <w:snapToGrid w:val="0"/>
        <w:spacing w:line="360" w:lineRule="auto"/>
        <w:ind w:firstLine="560" w:firstLineChars="200"/>
        <w:jc w:val="both"/>
        <w:rPr>
          <w:rFonts w:hint="eastAsia" w:ascii="宋体" w:hAnsi="宋体" w:eastAsia="宋体" w:cs="宋体"/>
          <w:b w:val="0"/>
          <w:bCs w:val="0"/>
          <w:kern w:val="0"/>
          <w:sz w:val="28"/>
          <w:szCs w:val="28"/>
          <w:lang w:val="en-US" w:eastAsia="zh-CN"/>
        </w:rPr>
      </w:pPr>
      <w:r>
        <w:rPr>
          <w:rFonts w:hint="eastAsia" w:ascii="宋体" w:hAnsi="宋体" w:eastAsia="宋体" w:cs="宋体"/>
          <w:b w:val="0"/>
          <w:bCs w:val="0"/>
          <w:kern w:val="0"/>
          <w:sz w:val="28"/>
          <w:szCs w:val="28"/>
          <w:lang w:val="en-US" w:eastAsia="zh-CN"/>
        </w:rPr>
        <w:t>本微专业修业年限为2学年，总学分15学分，设置5门核心课程。课程内容涵盖医学英语核心词汇与句型、国际医患沟通英语、国际医疗文书翻译与撰写、国际医疗服务流程与规范、国际医疗服务实践与跨文化适配等模块。</w:t>
      </w:r>
    </w:p>
    <w:p w14:paraId="7E7EFA9D">
      <w:pPr>
        <w:widowControl/>
        <w:numPr>
          <w:ilvl w:val="0"/>
          <w:numId w:val="0"/>
        </w:numPr>
        <w:adjustRightInd w:val="0"/>
        <w:snapToGrid w:val="0"/>
        <w:spacing w:line="360" w:lineRule="auto"/>
        <w:ind w:firstLine="560" w:firstLineChars="200"/>
        <w:jc w:val="both"/>
        <w:rPr>
          <w:rFonts w:hint="eastAsia" w:ascii="宋体" w:hAnsi="宋体" w:eastAsia="宋体" w:cs="宋体"/>
          <w:b w:val="0"/>
          <w:bCs w:val="0"/>
          <w:kern w:val="0"/>
          <w:sz w:val="28"/>
          <w:szCs w:val="28"/>
          <w:lang w:val="en-US" w:eastAsia="zh-CN"/>
        </w:rPr>
      </w:pPr>
      <w:r>
        <w:rPr>
          <w:rFonts w:hint="eastAsia" w:ascii="宋体" w:hAnsi="宋体" w:eastAsia="宋体" w:cs="宋体"/>
          <w:b w:val="0"/>
          <w:bCs w:val="0"/>
          <w:kern w:val="0"/>
          <w:sz w:val="28"/>
          <w:szCs w:val="28"/>
          <w:lang w:val="en-US" w:eastAsia="zh-CN"/>
        </w:rPr>
        <w:t>课程教学突出实践导向，采用双语教学、案例分析、情景模拟、任务训练、小组展示、项目实践等方式，强化学生在门诊接诊、病史采集、健康宣教、医学资料处理、医疗服务协调、国际医疗交流等场景中的英语应用能力和综合服务能力。</w:t>
      </w:r>
    </w:p>
    <w:p w14:paraId="12B7EA11">
      <w:pPr>
        <w:widowControl/>
        <w:numPr>
          <w:ilvl w:val="0"/>
          <w:numId w:val="0"/>
        </w:numPr>
        <w:adjustRightInd w:val="0"/>
        <w:snapToGrid w:val="0"/>
        <w:spacing w:line="360" w:lineRule="auto"/>
        <w:ind w:firstLine="560" w:firstLineChars="200"/>
        <w:jc w:val="both"/>
        <w:rPr>
          <w:rFonts w:hint="eastAsia" w:ascii="宋体" w:hAnsi="宋体" w:eastAsia="宋体" w:cs="宋体"/>
          <w:b w:val="0"/>
          <w:bCs w:val="0"/>
          <w:kern w:val="0"/>
          <w:sz w:val="28"/>
          <w:szCs w:val="28"/>
          <w:lang w:val="en-US" w:eastAsia="zh-CN"/>
        </w:rPr>
      </w:pPr>
      <w:r>
        <w:rPr>
          <w:rFonts w:hint="eastAsia" w:ascii="宋体" w:hAnsi="宋体" w:eastAsia="宋体" w:cs="宋体"/>
          <w:b w:val="0"/>
          <w:bCs w:val="0"/>
          <w:kern w:val="0"/>
          <w:sz w:val="28"/>
          <w:szCs w:val="28"/>
          <w:lang w:val="en-US" w:eastAsia="zh-CN"/>
        </w:rPr>
        <w:t>课程考核采取60%形成性评价+40%期末考核的形式，实践学习占比总课时数59%。学生完成规定课程学习并考核合格后，可按照学校微专业管理相关规定获得相应学习证明或微专业证书。</w:t>
      </w:r>
    </w:p>
    <w:p w14:paraId="2E91610B">
      <w:pPr>
        <w:widowControl/>
        <w:adjustRightInd w:val="0"/>
        <w:snapToGrid w:val="0"/>
        <w:spacing w:line="360" w:lineRule="auto"/>
        <w:ind w:firstLine="562" w:firstLineChars="200"/>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三、招生对象</w:t>
      </w:r>
    </w:p>
    <w:p w14:paraId="3EC29704">
      <w:pPr>
        <w:widowControl/>
        <w:numPr>
          <w:ilvl w:val="0"/>
          <w:numId w:val="0"/>
        </w:numPr>
        <w:adjustRightInd w:val="0"/>
        <w:snapToGrid w:val="0"/>
        <w:spacing w:line="360" w:lineRule="auto"/>
        <w:ind w:firstLine="560" w:firstLineChars="200"/>
        <w:jc w:val="both"/>
        <w:rPr>
          <w:rFonts w:hint="eastAsia" w:ascii="宋体" w:hAnsi="宋体" w:eastAsia="宋体" w:cs="宋体"/>
          <w:b w:val="0"/>
          <w:bCs w:val="0"/>
          <w:kern w:val="0"/>
          <w:sz w:val="28"/>
          <w:szCs w:val="28"/>
          <w:lang w:val="en-US" w:eastAsia="zh-CN"/>
        </w:rPr>
      </w:pPr>
      <w:r>
        <w:rPr>
          <w:rFonts w:hint="eastAsia" w:ascii="宋体" w:hAnsi="宋体" w:eastAsia="宋体" w:cs="宋体"/>
          <w:b w:val="0"/>
          <w:bCs w:val="0"/>
          <w:kern w:val="0"/>
          <w:sz w:val="28"/>
          <w:szCs w:val="28"/>
          <w:lang w:val="en-US" w:eastAsia="zh-CN"/>
        </w:rPr>
        <w:t>报名学生应同时符合以下条件：</w:t>
      </w:r>
    </w:p>
    <w:tbl>
      <w:tblPr>
        <w:tblStyle w:val="3"/>
        <w:tblW w:w="82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6"/>
        <w:gridCol w:w="3732"/>
        <w:gridCol w:w="2791"/>
      </w:tblGrid>
      <w:tr w14:paraId="7AE90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716" w:type="dxa"/>
            <w:noWrap w:val="0"/>
            <w:vAlign w:val="center"/>
          </w:tcPr>
          <w:p w14:paraId="48838ADA">
            <w:pPr>
              <w:spacing w:line="312" w:lineRule="auto"/>
              <w:jc w:val="center"/>
              <w:rPr>
                <w:rFonts w:hint="eastAsia" w:ascii="宋体" w:hAnsi="宋体" w:eastAsia="宋体" w:cs="宋体"/>
                <w:b/>
                <w:bCs w:val="0"/>
                <w:spacing w:val="20"/>
                <w:sz w:val="22"/>
                <w:szCs w:val="22"/>
                <w:lang w:eastAsia="zh-CN"/>
              </w:rPr>
            </w:pPr>
            <w:r>
              <w:rPr>
                <w:rFonts w:hint="eastAsia" w:ascii="宋体" w:hAnsi="宋体" w:eastAsia="宋体" w:cs="宋体"/>
                <w:b/>
                <w:sz w:val="24"/>
                <w:szCs w:val="24"/>
              </w:rPr>
              <w:t>类别</w:t>
            </w:r>
          </w:p>
        </w:tc>
        <w:tc>
          <w:tcPr>
            <w:tcW w:w="3732" w:type="dxa"/>
            <w:noWrap w:val="0"/>
            <w:vAlign w:val="center"/>
          </w:tcPr>
          <w:p w14:paraId="50873FFA">
            <w:pPr>
              <w:spacing w:line="312" w:lineRule="auto"/>
              <w:jc w:val="center"/>
              <w:rPr>
                <w:rFonts w:hint="eastAsia" w:ascii="宋体" w:hAnsi="宋体" w:eastAsia="宋体" w:cs="宋体"/>
                <w:b/>
                <w:bCs w:val="0"/>
                <w:spacing w:val="20"/>
                <w:sz w:val="22"/>
                <w:szCs w:val="22"/>
                <w:lang w:val="en-US" w:eastAsia="zh-CN" w:bidi="ar-SA"/>
              </w:rPr>
            </w:pPr>
            <w:r>
              <w:rPr>
                <w:rFonts w:hint="eastAsia" w:ascii="宋体" w:hAnsi="宋体" w:eastAsia="宋体" w:cs="宋体"/>
                <w:b/>
                <w:sz w:val="24"/>
                <w:szCs w:val="24"/>
              </w:rPr>
              <w:t>具体要求</w:t>
            </w:r>
          </w:p>
        </w:tc>
        <w:tc>
          <w:tcPr>
            <w:tcW w:w="2791" w:type="dxa"/>
            <w:noWrap w:val="0"/>
            <w:vAlign w:val="center"/>
          </w:tcPr>
          <w:p w14:paraId="2D72D753">
            <w:pPr>
              <w:spacing w:line="312" w:lineRule="auto"/>
              <w:jc w:val="center"/>
              <w:rPr>
                <w:rFonts w:hint="eastAsia" w:ascii="宋体" w:hAnsi="宋体" w:eastAsia="宋体" w:cs="宋体"/>
                <w:b/>
                <w:bCs w:val="0"/>
                <w:spacing w:val="20"/>
                <w:sz w:val="22"/>
                <w:szCs w:val="22"/>
                <w:lang w:val="en-US" w:eastAsia="zh-CN"/>
              </w:rPr>
            </w:pPr>
            <w:r>
              <w:rPr>
                <w:rFonts w:hint="eastAsia" w:ascii="宋体" w:hAnsi="宋体" w:eastAsia="宋体" w:cs="宋体"/>
                <w:b/>
                <w:sz w:val="24"/>
                <w:szCs w:val="24"/>
              </w:rPr>
              <w:t>说明</w:t>
            </w:r>
          </w:p>
        </w:tc>
      </w:tr>
      <w:tr w14:paraId="5046A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5" w:hRule="atLeast"/>
          <w:jc w:val="center"/>
        </w:trPr>
        <w:tc>
          <w:tcPr>
            <w:tcW w:w="1716" w:type="dxa"/>
            <w:noWrap w:val="0"/>
            <w:vAlign w:val="center"/>
          </w:tcPr>
          <w:p w14:paraId="1A84D13B">
            <w:pPr>
              <w:spacing w:line="312" w:lineRule="auto"/>
              <w:jc w:val="center"/>
              <w:rPr>
                <w:rFonts w:hint="eastAsia" w:ascii="宋体" w:hAnsi="宋体" w:eastAsia="宋体" w:cs="宋体"/>
                <w:b/>
                <w:color w:val="auto"/>
                <w:spacing w:val="20"/>
                <w:sz w:val="24"/>
                <w:szCs w:val="24"/>
                <w:lang w:val="en-US" w:eastAsia="zh-CN"/>
              </w:rPr>
            </w:pPr>
            <w:r>
              <w:rPr>
                <w:rFonts w:hint="eastAsia" w:ascii="宋体" w:hAnsi="宋体" w:eastAsia="宋体" w:cs="宋体"/>
                <w:b/>
                <w:sz w:val="24"/>
                <w:szCs w:val="24"/>
              </w:rPr>
              <w:t>年级条件</w:t>
            </w:r>
          </w:p>
        </w:tc>
        <w:tc>
          <w:tcPr>
            <w:tcW w:w="3732" w:type="dxa"/>
            <w:noWrap w:val="0"/>
            <w:vAlign w:val="center"/>
          </w:tcPr>
          <w:p w14:paraId="0FA94679">
            <w:pPr>
              <w:spacing w:line="312" w:lineRule="auto"/>
              <w:jc w:val="left"/>
              <w:rPr>
                <w:rFonts w:hint="eastAsia" w:ascii="宋体" w:hAnsi="宋体" w:eastAsia="宋体" w:cs="宋体"/>
                <w:b/>
                <w:color w:val="auto"/>
                <w:spacing w:val="20"/>
                <w:sz w:val="24"/>
                <w:szCs w:val="24"/>
                <w:lang w:val="en-US" w:eastAsia="zh-CN"/>
              </w:rPr>
            </w:pPr>
            <w:r>
              <w:rPr>
                <w:rFonts w:hint="eastAsia" w:ascii="宋体" w:hAnsi="宋体" w:eastAsia="宋体" w:cs="宋体"/>
                <w:b w:val="0"/>
                <w:sz w:val="24"/>
                <w:szCs w:val="24"/>
              </w:rPr>
              <w:t>南京医科大学康达学院全日制本科二年级及以上在校学生。</w:t>
            </w:r>
          </w:p>
        </w:tc>
        <w:tc>
          <w:tcPr>
            <w:tcW w:w="2791" w:type="dxa"/>
            <w:noWrap w:val="0"/>
            <w:vAlign w:val="center"/>
          </w:tcPr>
          <w:p w14:paraId="03BB7D95">
            <w:pPr>
              <w:spacing w:line="312" w:lineRule="auto"/>
              <w:jc w:val="left"/>
              <w:rPr>
                <w:rFonts w:hint="eastAsia" w:ascii="宋体" w:hAnsi="宋体" w:eastAsia="宋体" w:cs="宋体"/>
                <w:b/>
                <w:color w:val="auto"/>
                <w:spacing w:val="20"/>
                <w:sz w:val="24"/>
                <w:szCs w:val="24"/>
                <w:lang w:val="en-US" w:eastAsia="zh-CN"/>
              </w:rPr>
            </w:pPr>
            <w:r>
              <w:rPr>
                <w:rFonts w:hint="eastAsia" w:ascii="宋体" w:hAnsi="宋体" w:eastAsia="宋体" w:cs="宋体"/>
                <w:b w:val="0"/>
                <w:sz w:val="24"/>
                <w:szCs w:val="24"/>
              </w:rPr>
              <w:t>毕业年级学生原则上不纳入本次招生范围。</w:t>
            </w:r>
          </w:p>
        </w:tc>
      </w:tr>
      <w:tr w14:paraId="651D9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8" w:hRule="atLeast"/>
          <w:jc w:val="center"/>
        </w:trPr>
        <w:tc>
          <w:tcPr>
            <w:tcW w:w="1716" w:type="dxa"/>
            <w:noWrap w:val="0"/>
            <w:vAlign w:val="center"/>
          </w:tcPr>
          <w:p w14:paraId="03086D74">
            <w:pPr>
              <w:spacing w:line="312" w:lineRule="auto"/>
              <w:jc w:val="center"/>
              <w:rPr>
                <w:rFonts w:hint="eastAsia" w:ascii="宋体" w:hAnsi="宋体" w:eastAsia="宋体" w:cs="宋体"/>
                <w:b/>
                <w:color w:val="auto"/>
                <w:spacing w:val="20"/>
                <w:sz w:val="24"/>
                <w:szCs w:val="24"/>
              </w:rPr>
            </w:pPr>
            <w:r>
              <w:rPr>
                <w:rFonts w:hint="eastAsia" w:ascii="宋体" w:hAnsi="宋体" w:eastAsia="宋体" w:cs="宋体"/>
                <w:b/>
                <w:sz w:val="24"/>
                <w:szCs w:val="24"/>
              </w:rPr>
              <w:t>专业条件</w:t>
            </w:r>
          </w:p>
        </w:tc>
        <w:tc>
          <w:tcPr>
            <w:tcW w:w="3732" w:type="dxa"/>
            <w:noWrap w:val="0"/>
            <w:vAlign w:val="center"/>
          </w:tcPr>
          <w:p w14:paraId="56C8C11B">
            <w:pPr>
              <w:spacing w:line="312" w:lineRule="auto"/>
              <w:jc w:val="left"/>
              <w:rPr>
                <w:rFonts w:hint="eastAsia" w:ascii="宋体" w:hAnsi="宋体" w:eastAsia="宋体" w:cs="宋体"/>
                <w:b/>
                <w:color w:val="auto"/>
                <w:spacing w:val="20"/>
                <w:sz w:val="24"/>
                <w:szCs w:val="24"/>
                <w:lang w:val="en-US" w:eastAsia="zh-CN"/>
              </w:rPr>
            </w:pPr>
            <w:r>
              <w:rPr>
                <w:rFonts w:hint="eastAsia" w:ascii="宋体" w:hAnsi="宋体" w:eastAsia="宋体" w:cs="宋体"/>
                <w:b w:val="0"/>
                <w:sz w:val="24"/>
                <w:szCs w:val="24"/>
              </w:rPr>
              <w:t>面向</w:t>
            </w:r>
            <w:r>
              <w:rPr>
                <w:rFonts w:hint="eastAsia" w:ascii="宋体" w:hAnsi="宋体" w:eastAsia="宋体" w:cs="宋体"/>
                <w:b w:val="0"/>
                <w:sz w:val="24"/>
                <w:szCs w:val="24"/>
                <w:lang w:val="en-US" w:eastAsia="zh-CN"/>
              </w:rPr>
              <w:t>学院各专业</w:t>
            </w:r>
            <w:r>
              <w:rPr>
                <w:rFonts w:hint="eastAsia" w:ascii="宋体" w:hAnsi="宋体" w:eastAsia="宋体" w:cs="宋体"/>
                <w:b w:val="0"/>
                <w:sz w:val="24"/>
                <w:szCs w:val="24"/>
              </w:rPr>
              <w:t>学生。</w:t>
            </w:r>
          </w:p>
        </w:tc>
        <w:tc>
          <w:tcPr>
            <w:tcW w:w="2791" w:type="dxa"/>
            <w:noWrap w:val="0"/>
            <w:vAlign w:val="center"/>
          </w:tcPr>
          <w:p w14:paraId="7A50EE95">
            <w:pPr>
              <w:spacing w:line="312" w:lineRule="auto"/>
              <w:jc w:val="left"/>
              <w:rPr>
                <w:rFonts w:hint="eastAsia" w:ascii="宋体" w:hAnsi="宋体" w:eastAsia="宋体" w:cs="宋体"/>
                <w:b/>
                <w:color w:val="auto"/>
                <w:spacing w:val="20"/>
                <w:sz w:val="24"/>
                <w:szCs w:val="24"/>
                <w:lang w:val="en-US" w:eastAsia="zh-CN"/>
              </w:rPr>
            </w:pPr>
            <w:r>
              <w:rPr>
                <w:rFonts w:hint="eastAsia" w:ascii="宋体" w:hAnsi="宋体" w:eastAsia="宋体" w:cs="宋体"/>
                <w:b w:val="0"/>
                <w:sz w:val="24"/>
                <w:szCs w:val="24"/>
              </w:rPr>
              <w:t>学生</w:t>
            </w:r>
            <w:r>
              <w:rPr>
                <w:rFonts w:hint="eastAsia" w:ascii="宋体" w:hAnsi="宋体" w:eastAsia="宋体" w:cs="宋体"/>
                <w:b w:val="0"/>
                <w:sz w:val="24"/>
                <w:szCs w:val="24"/>
                <w:lang w:val="en-US" w:eastAsia="zh-CN"/>
              </w:rPr>
              <w:t>需</w:t>
            </w:r>
            <w:r>
              <w:rPr>
                <w:rFonts w:hint="eastAsia" w:ascii="宋体" w:hAnsi="宋体" w:eastAsia="宋体" w:cs="宋体"/>
                <w:b w:val="0"/>
                <w:sz w:val="24"/>
                <w:szCs w:val="24"/>
              </w:rPr>
              <w:t>具有较强英语基础、医学英语学习兴趣或国际医疗服务发展意向。</w:t>
            </w:r>
          </w:p>
        </w:tc>
      </w:tr>
      <w:tr w14:paraId="66EDF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3" w:hRule="atLeast"/>
          <w:jc w:val="center"/>
        </w:trPr>
        <w:tc>
          <w:tcPr>
            <w:tcW w:w="1716" w:type="dxa"/>
            <w:noWrap w:val="0"/>
            <w:vAlign w:val="center"/>
          </w:tcPr>
          <w:p w14:paraId="220940C5">
            <w:pPr>
              <w:spacing w:line="312" w:lineRule="auto"/>
              <w:jc w:val="center"/>
              <w:rPr>
                <w:rFonts w:hint="eastAsia" w:ascii="宋体" w:hAnsi="宋体" w:eastAsia="宋体" w:cs="宋体"/>
                <w:b/>
                <w:spacing w:val="20"/>
                <w:sz w:val="24"/>
                <w:szCs w:val="24"/>
                <w:highlight w:val="none"/>
              </w:rPr>
            </w:pPr>
            <w:r>
              <w:rPr>
                <w:rFonts w:hint="eastAsia" w:ascii="宋体" w:hAnsi="宋体" w:eastAsia="宋体" w:cs="宋体"/>
                <w:b/>
                <w:sz w:val="24"/>
                <w:szCs w:val="24"/>
              </w:rPr>
              <w:t>英语能力条件</w:t>
            </w:r>
          </w:p>
        </w:tc>
        <w:tc>
          <w:tcPr>
            <w:tcW w:w="3732" w:type="dxa"/>
            <w:shd w:val="clear" w:color="auto" w:fill="auto"/>
            <w:noWrap w:val="0"/>
            <w:vAlign w:val="center"/>
          </w:tcPr>
          <w:p w14:paraId="02F1271F">
            <w:pPr>
              <w:spacing w:line="312" w:lineRule="auto"/>
              <w:jc w:val="left"/>
              <w:rPr>
                <w:rFonts w:hint="eastAsia" w:ascii="宋体" w:hAnsi="宋体" w:eastAsia="宋体" w:cs="宋体"/>
                <w:b/>
                <w:color w:val="auto"/>
                <w:spacing w:val="20"/>
                <w:kern w:val="2"/>
                <w:sz w:val="24"/>
                <w:szCs w:val="24"/>
                <w:lang w:val="en-US" w:eastAsia="zh-CN" w:bidi="ar-SA"/>
              </w:rPr>
            </w:pPr>
            <w:r>
              <w:rPr>
                <w:rFonts w:hint="eastAsia" w:ascii="宋体" w:hAnsi="宋体" w:eastAsia="宋体" w:cs="宋体"/>
                <w:b w:val="0"/>
                <w:sz w:val="24"/>
                <w:szCs w:val="24"/>
              </w:rPr>
              <w:t xml:space="preserve">CET-4 ≥ </w:t>
            </w:r>
            <w:r>
              <w:rPr>
                <w:rFonts w:hint="eastAsia" w:ascii="宋体" w:hAnsi="宋体" w:eastAsia="宋体" w:cs="宋体"/>
                <w:b w:val="0"/>
                <w:sz w:val="24"/>
                <w:szCs w:val="24"/>
                <w:lang w:val="en-US" w:eastAsia="zh-CN"/>
              </w:rPr>
              <w:t>460</w:t>
            </w:r>
            <w:r>
              <w:rPr>
                <w:rFonts w:hint="eastAsia" w:ascii="宋体" w:hAnsi="宋体" w:eastAsia="宋体" w:cs="宋体"/>
                <w:b w:val="0"/>
                <w:sz w:val="24"/>
                <w:szCs w:val="24"/>
              </w:rPr>
              <w:t>分，或CET-6 ≥ 4</w:t>
            </w:r>
            <w:r>
              <w:rPr>
                <w:rFonts w:hint="eastAsia" w:ascii="宋体" w:hAnsi="宋体" w:eastAsia="宋体" w:cs="宋体"/>
                <w:b w:val="0"/>
                <w:sz w:val="24"/>
                <w:szCs w:val="24"/>
                <w:lang w:val="en-US" w:eastAsia="zh-CN"/>
              </w:rPr>
              <w:t>30</w:t>
            </w:r>
            <w:r>
              <w:rPr>
                <w:rFonts w:hint="eastAsia" w:ascii="宋体" w:hAnsi="宋体" w:eastAsia="宋体" w:cs="宋体"/>
                <w:b w:val="0"/>
                <w:sz w:val="24"/>
                <w:szCs w:val="24"/>
              </w:rPr>
              <w:t>分；能够提供METS、雅思、托福或其他英语能力证明材料者，可作为英语能力参考依据。</w:t>
            </w:r>
          </w:p>
        </w:tc>
        <w:tc>
          <w:tcPr>
            <w:tcW w:w="2791" w:type="dxa"/>
            <w:shd w:val="clear" w:color="auto" w:fill="auto"/>
            <w:noWrap w:val="0"/>
            <w:vAlign w:val="center"/>
          </w:tcPr>
          <w:p w14:paraId="5D8DBD8B">
            <w:pPr>
              <w:spacing w:line="312" w:lineRule="auto"/>
              <w:jc w:val="left"/>
              <w:rPr>
                <w:rFonts w:hint="eastAsia" w:ascii="宋体" w:hAnsi="宋体" w:eastAsia="宋体" w:cs="宋体"/>
                <w:b/>
                <w:color w:val="auto"/>
                <w:spacing w:val="20"/>
                <w:kern w:val="2"/>
                <w:sz w:val="24"/>
                <w:szCs w:val="24"/>
                <w:lang w:val="en-US" w:eastAsia="zh-CN" w:bidi="ar-SA"/>
              </w:rPr>
            </w:pPr>
            <w:r>
              <w:rPr>
                <w:rFonts w:hint="eastAsia" w:ascii="宋体" w:hAnsi="宋体" w:eastAsia="宋体" w:cs="宋体"/>
                <w:b w:val="0"/>
                <w:sz w:val="24"/>
                <w:szCs w:val="24"/>
              </w:rPr>
              <w:t>须提交相应成绩证明或能力证明附件。</w:t>
            </w:r>
          </w:p>
        </w:tc>
      </w:tr>
      <w:tr w14:paraId="3F1B5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3" w:hRule="atLeast"/>
          <w:jc w:val="center"/>
        </w:trPr>
        <w:tc>
          <w:tcPr>
            <w:tcW w:w="1716" w:type="dxa"/>
            <w:noWrap w:val="0"/>
            <w:vAlign w:val="center"/>
          </w:tcPr>
          <w:p w14:paraId="41F82D91">
            <w:pPr>
              <w:spacing w:line="312" w:lineRule="auto"/>
              <w:jc w:val="center"/>
              <w:rPr>
                <w:rFonts w:hint="eastAsia" w:ascii="宋体" w:hAnsi="宋体" w:eastAsia="宋体" w:cs="宋体"/>
                <w:kern w:val="0"/>
                <w:sz w:val="24"/>
                <w:szCs w:val="24"/>
                <w:lang w:val="en-US" w:eastAsia="zh-CN"/>
              </w:rPr>
            </w:pPr>
            <w:r>
              <w:rPr>
                <w:rFonts w:hint="eastAsia" w:ascii="宋体" w:hAnsi="宋体" w:eastAsia="宋体" w:cs="宋体"/>
                <w:b/>
                <w:sz w:val="24"/>
                <w:szCs w:val="24"/>
              </w:rPr>
              <w:t>学习能力与综合素质</w:t>
            </w:r>
          </w:p>
        </w:tc>
        <w:tc>
          <w:tcPr>
            <w:tcW w:w="3732" w:type="dxa"/>
            <w:shd w:val="clear" w:color="auto" w:fill="auto"/>
            <w:noWrap w:val="0"/>
            <w:vAlign w:val="center"/>
          </w:tcPr>
          <w:p w14:paraId="66E0AAA2">
            <w:pPr>
              <w:spacing w:line="312" w:lineRule="auto"/>
              <w:jc w:val="left"/>
              <w:rPr>
                <w:rFonts w:hint="eastAsia" w:ascii="宋体" w:hAnsi="宋体" w:eastAsia="宋体" w:cs="宋体"/>
                <w:kern w:val="0"/>
                <w:sz w:val="24"/>
                <w:szCs w:val="24"/>
                <w:lang w:val="en-US" w:eastAsia="zh-CN"/>
              </w:rPr>
            </w:pPr>
            <w:r>
              <w:rPr>
                <w:rFonts w:hint="eastAsia" w:ascii="宋体" w:hAnsi="宋体" w:eastAsia="宋体" w:cs="宋体"/>
                <w:b w:val="0"/>
                <w:sz w:val="24"/>
                <w:szCs w:val="24"/>
              </w:rPr>
              <w:t>具有良好的学习态度和自主学习能力，能够在完成主修专业学习任务的基础上参加微专业课程学习、实践训练和考核。</w:t>
            </w:r>
          </w:p>
        </w:tc>
        <w:tc>
          <w:tcPr>
            <w:tcW w:w="2791" w:type="dxa"/>
            <w:shd w:val="clear" w:color="auto" w:fill="auto"/>
            <w:noWrap w:val="0"/>
            <w:vAlign w:val="center"/>
          </w:tcPr>
          <w:p w14:paraId="3BA9616C">
            <w:pPr>
              <w:spacing w:line="312" w:lineRule="auto"/>
              <w:jc w:val="left"/>
              <w:rPr>
                <w:rFonts w:hint="eastAsia" w:ascii="宋体" w:hAnsi="宋体" w:eastAsia="宋体" w:cs="宋体"/>
                <w:kern w:val="0"/>
                <w:sz w:val="24"/>
                <w:szCs w:val="24"/>
                <w:lang w:val="en-US" w:eastAsia="zh-CN"/>
              </w:rPr>
            </w:pPr>
            <w:r>
              <w:rPr>
                <w:rFonts w:hint="eastAsia" w:ascii="宋体" w:hAnsi="宋体" w:eastAsia="宋体" w:cs="宋体"/>
                <w:b w:val="0"/>
                <w:sz w:val="24"/>
                <w:szCs w:val="24"/>
              </w:rPr>
              <w:t>应具备一定团队合作意识、沟通表达能力和责任意识。</w:t>
            </w:r>
          </w:p>
        </w:tc>
      </w:tr>
      <w:tr w14:paraId="0002F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4" w:hRule="atLeast"/>
          <w:jc w:val="center"/>
        </w:trPr>
        <w:tc>
          <w:tcPr>
            <w:tcW w:w="1716" w:type="dxa"/>
            <w:noWrap w:val="0"/>
            <w:vAlign w:val="center"/>
          </w:tcPr>
          <w:p w14:paraId="5FD0A7ED">
            <w:pPr>
              <w:spacing w:line="312" w:lineRule="auto"/>
              <w:jc w:val="center"/>
              <w:rPr>
                <w:rFonts w:hint="eastAsia" w:ascii="宋体" w:hAnsi="宋体" w:eastAsia="宋体" w:cs="宋体"/>
                <w:kern w:val="0"/>
                <w:sz w:val="24"/>
                <w:szCs w:val="24"/>
                <w:lang w:val="en-US" w:eastAsia="zh-CN"/>
              </w:rPr>
            </w:pPr>
            <w:r>
              <w:rPr>
                <w:rFonts w:hint="eastAsia" w:ascii="宋体" w:hAnsi="宋体" w:eastAsia="宋体" w:cs="宋体"/>
                <w:b/>
                <w:sz w:val="24"/>
                <w:szCs w:val="24"/>
              </w:rPr>
              <w:t>纪律与品行</w:t>
            </w:r>
          </w:p>
        </w:tc>
        <w:tc>
          <w:tcPr>
            <w:tcW w:w="3732" w:type="dxa"/>
            <w:shd w:val="clear" w:color="auto" w:fill="auto"/>
            <w:noWrap w:val="0"/>
            <w:vAlign w:val="center"/>
          </w:tcPr>
          <w:p w14:paraId="6B831084">
            <w:pPr>
              <w:spacing w:line="312" w:lineRule="auto"/>
              <w:jc w:val="left"/>
              <w:rPr>
                <w:rFonts w:hint="eastAsia" w:ascii="宋体" w:hAnsi="宋体" w:eastAsia="宋体" w:cs="宋体"/>
                <w:kern w:val="0"/>
                <w:sz w:val="24"/>
                <w:szCs w:val="24"/>
                <w:lang w:val="en-US" w:eastAsia="zh-CN"/>
              </w:rPr>
            </w:pPr>
            <w:r>
              <w:rPr>
                <w:rFonts w:hint="eastAsia" w:ascii="宋体" w:hAnsi="宋体" w:eastAsia="宋体" w:cs="宋体"/>
                <w:b w:val="0"/>
                <w:sz w:val="24"/>
                <w:szCs w:val="24"/>
              </w:rPr>
              <w:t>遵守学校各项规章制度，思想品德良好，身心健康。</w:t>
            </w:r>
          </w:p>
        </w:tc>
        <w:tc>
          <w:tcPr>
            <w:tcW w:w="2791" w:type="dxa"/>
            <w:shd w:val="clear" w:color="auto" w:fill="auto"/>
            <w:noWrap w:val="0"/>
            <w:vAlign w:val="center"/>
          </w:tcPr>
          <w:p w14:paraId="72AFFE78">
            <w:pPr>
              <w:spacing w:line="312" w:lineRule="auto"/>
              <w:jc w:val="left"/>
              <w:rPr>
                <w:rFonts w:hint="eastAsia" w:ascii="宋体" w:hAnsi="宋体" w:eastAsia="宋体" w:cs="宋体"/>
                <w:kern w:val="0"/>
                <w:sz w:val="24"/>
                <w:szCs w:val="24"/>
                <w:lang w:val="en-US" w:eastAsia="zh-CN"/>
              </w:rPr>
            </w:pPr>
            <w:r>
              <w:rPr>
                <w:rFonts w:hint="eastAsia" w:ascii="宋体" w:hAnsi="宋体" w:eastAsia="宋体" w:cs="宋体"/>
                <w:b w:val="0"/>
                <w:sz w:val="24"/>
                <w:szCs w:val="24"/>
              </w:rPr>
              <w:t>无严重违纪违规记录。</w:t>
            </w:r>
          </w:p>
        </w:tc>
      </w:tr>
    </w:tbl>
    <w:p w14:paraId="4F4CFDC6">
      <w:pPr>
        <w:widowControl/>
        <w:adjustRightInd w:val="0"/>
        <w:snapToGrid w:val="0"/>
        <w:spacing w:line="360" w:lineRule="auto"/>
        <w:ind w:firstLine="562" w:firstLineChars="200"/>
        <w:rPr>
          <w:rFonts w:hint="eastAsia" w:ascii="宋体" w:hAnsi="宋体" w:eastAsia="宋体" w:cs="宋体"/>
          <w:b/>
          <w:bCs/>
          <w:kern w:val="0"/>
          <w:sz w:val="28"/>
          <w:szCs w:val="28"/>
          <w:lang w:val="en-US" w:eastAsia="zh-CN"/>
        </w:rPr>
      </w:pPr>
    </w:p>
    <w:p w14:paraId="2520D691">
      <w:pPr>
        <w:widowControl/>
        <w:adjustRightInd w:val="0"/>
        <w:snapToGrid w:val="0"/>
        <w:spacing w:line="360" w:lineRule="auto"/>
        <w:ind w:firstLine="562" w:firstLineChars="200"/>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四、招生计划</w:t>
      </w:r>
    </w:p>
    <w:tbl>
      <w:tblPr>
        <w:tblStyle w:val="3"/>
        <w:tblW w:w="73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4"/>
        <w:gridCol w:w="5640"/>
      </w:tblGrid>
      <w:tr w14:paraId="5D4E2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664" w:type="dxa"/>
            <w:noWrap w:val="0"/>
            <w:vAlign w:val="center"/>
          </w:tcPr>
          <w:p w14:paraId="5066167D">
            <w:pPr>
              <w:spacing w:line="312" w:lineRule="auto"/>
              <w:jc w:val="center"/>
              <w:rPr>
                <w:rFonts w:hint="eastAsia" w:ascii="宋体" w:hAnsi="宋体" w:eastAsia="宋体" w:cs="宋体"/>
                <w:b/>
                <w:color w:val="auto"/>
                <w:spacing w:val="20"/>
                <w:sz w:val="24"/>
                <w:szCs w:val="24"/>
                <w:lang w:val="en-US" w:eastAsia="zh-CN"/>
              </w:rPr>
            </w:pPr>
            <w:r>
              <w:rPr>
                <w:rFonts w:hint="eastAsia" w:ascii="宋体" w:hAnsi="宋体" w:eastAsia="宋体" w:cs="宋体"/>
                <w:b/>
                <w:sz w:val="24"/>
                <w:szCs w:val="24"/>
              </w:rPr>
              <w:t>招生人数</w:t>
            </w:r>
          </w:p>
        </w:tc>
        <w:tc>
          <w:tcPr>
            <w:tcW w:w="5640" w:type="dxa"/>
            <w:noWrap w:val="0"/>
            <w:vAlign w:val="center"/>
          </w:tcPr>
          <w:p w14:paraId="3057D978">
            <w:pPr>
              <w:spacing w:line="312" w:lineRule="auto"/>
              <w:jc w:val="left"/>
              <w:rPr>
                <w:rFonts w:hint="eastAsia" w:ascii="宋体" w:hAnsi="宋体" w:eastAsia="宋体" w:cs="宋体"/>
                <w:b/>
                <w:color w:val="auto"/>
                <w:spacing w:val="20"/>
                <w:sz w:val="24"/>
                <w:szCs w:val="24"/>
                <w:lang w:val="en-US" w:eastAsia="zh-CN"/>
              </w:rPr>
            </w:pPr>
            <w:r>
              <w:rPr>
                <w:rFonts w:hint="eastAsia" w:ascii="宋体" w:hAnsi="宋体" w:eastAsia="宋体" w:cs="宋体"/>
                <w:b w:val="0"/>
                <w:sz w:val="24"/>
                <w:szCs w:val="24"/>
                <w:lang w:val="en-US"/>
              </w:rPr>
              <w:t>6</w:t>
            </w:r>
            <w:r>
              <w:rPr>
                <w:rFonts w:hint="eastAsia" w:ascii="宋体" w:hAnsi="宋体" w:eastAsia="宋体" w:cs="宋体"/>
                <w:b w:val="0"/>
                <w:sz w:val="24"/>
                <w:szCs w:val="24"/>
              </w:rPr>
              <w:t>0人</w:t>
            </w:r>
          </w:p>
        </w:tc>
      </w:tr>
      <w:tr w14:paraId="71142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664" w:type="dxa"/>
            <w:noWrap w:val="0"/>
            <w:vAlign w:val="center"/>
          </w:tcPr>
          <w:p w14:paraId="624753AE">
            <w:pPr>
              <w:spacing w:line="312" w:lineRule="auto"/>
              <w:jc w:val="center"/>
              <w:rPr>
                <w:rFonts w:hint="eastAsia" w:ascii="宋体" w:hAnsi="宋体" w:eastAsia="宋体" w:cs="宋体"/>
                <w:b/>
                <w:color w:val="auto"/>
                <w:spacing w:val="20"/>
                <w:sz w:val="24"/>
                <w:szCs w:val="24"/>
              </w:rPr>
            </w:pPr>
            <w:r>
              <w:rPr>
                <w:rFonts w:hint="eastAsia" w:ascii="宋体" w:hAnsi="宋体" w:eastAsia="宋体" w:cs="宋体"/>
                <w:b/>
                <w:sz w:val="24"/>
                <w:szCs w:val="24"/>
              </w:rPr>
              <w:t>班级设置</w:t>
            </w:r>
          </w:p>
        </w:tc>
        <w:tc>
          <w:tcPr>
            <w:tcW w:w="5640" w:type="dxa"/>
            <w:noWrap w:val="0"/>
            <w:vAlign w:val="center"/>
          </w:tcPr>
          <w:p w14:paraId="419935C5">
            <w:pPr>
              <w:spacing w:line="312" w:lineRule="auto"/>
              <w:jc w:val="left"/>
              <w:rPr>
                <w:rFonts w:hint="eastAsia" w:ascii="宋体" w:hAnsi="宋体" w:eastAsia="宋体" w:cs="宋体"/>
                <w:b/>
                <w:color w:val="auto"/>
                <w:spacing w:val="20"/>
                <w:sz w:val="24"/>
                <w:szCs w:val="24"/>
                <w:lang w:val="en-US" w:eastAsia="zh-CN"/>
              </w:rPr>
            </w:pPr>
            <w:r>
              <w:rPr>
                <w:rFonts w:hint="eastAsia" w:ascii="宋体" w:hAnsi="宋体" w:eastAsia="宋体" w:cs="宋体"/>
                <w:b w:val="0"/>
                <w:sz w:val="24"/>
                <w:szCs w:val="24"/>
              </w:rPr>
              <w:t>两个教学班，每班约</w:t>
            </w:r>
            <w:r>
              <w:rPr>
                <w:rFonts w:hint="eastAsia" w:ascii="宋体" w:hAnsi="宋体" w:eastAsia="宋体" w:cs="宋体"/>
                <w:b w:val="0"/>
                <w:sz w:val="24"/>
                <w:szCs w:val="24"/>
                <w:lang w:val="en-US"/>
              </w:rPr>
              <w:t>3</w:t>
            </w:r>
            <w:r>
              <w:rPr>
                <w:rFonts w:hint="eastAsia" w:ascii="宋体" w:hAnsi="宋体" w:eastAsia="宋体" w:cs="宋体"/>
                <w:b w:val="0"/>
                <w:sz w:val="24"/>
                <w:szCs w:val="24"/>
              </w:rPr>
              <w:t>0人</w:t>
            </w:r>
          </w:p>
        </w:tc>
      </w:tr>
      <w:tr w14:paraId="3D04B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664" w:type="dxa"/>
            <w:noWrap w:val="0"/>
            <w:vAlign w:val="center"/>
          </w:tcPr>
          <w:p w14:paraId="3C151736">
            <w:pPr>
              <w:spacing w:line="312" w:lineRule="auto"/>
              <w:jc w:val="center"/>
              <w:rPr>
                <w:rFonts w:hint="eastAsia" w:ascii="宋体" w:hAnsi="宋体" w:eastAsia="宋体" w:cs="宋体"/>
                <w:b/>
                <w:spacing w:val="20"/>
                <w:sz w:val="24"/>
                <w:szCs w:val="24"/>
                <w:highlight w:val="none"/>
              </w:rPr>
            </w:pPr>
            <w:r>
              <w:rPr>
                <w:rFonts w:hint="eastAsia" w:ascii="宋体" w:hAnsi="宋体" w:eastAsia="宋体" w:cs="宋体"/>
                <w:b/>
                <w:sz w:val="24"/>
                <w:szCs w:val="24"/>
              </w:rPr>
              <w:t>招生原则</w:t>
            </w:r>
          </w:p>
        </w:tc>
        <w:tc>
          <w:tcPr>
            <w:tcW w:w="5640" w:type="dxa"/>
            <w:shd w:val="clear" w:color="auto" w:fill="auto"/>
            <w:noWrap w:val="0"/>
            <w:vAlign w:val="center"/>
          </w:tcPr>
          <w:p w14:paraId="68C18518">
            <w:pPr>
              <w:spacing w:line="312" w:lineRule="auto"/>
              <w:jc w:val="left"/>
              <w:rPr>
                <w:rFonts w:hint="eastAsia" w:ascii="宋体" w:hAnsi="宋体" w:eastAsia="宋体" w:cs="宋体"/>
                <w:b/>
                <w:color w:val="auto"/>
                <w:spacing w:val="20"/>
                <w:kern w:val="2"/>
                <w:sz w:val="24"/>
                <w:szCs w:val="24"/>
                <w:lang w:val="en-US" w:eastAsia="zh-CN" w:bidi="ar-SA"/>
              </w:rPr>
            </w:pPr>
            <w:r>
              <w:rPr>
                <w:rFonts w:hint="eastAsia" w:ascii="宋体" w:hAnsi="宋体" w:eastAsia="宋体" w:cs="宋体"/>
                <w:b w:val="0"/>
                <w:sz w:val="24"/>
                <w:szCs w:val="24"/>
              </w:rPr>
              <w:t>符合条件、择优录取</w:t>
            </w:r>
          </w:p>
        </w:tc>
      </w:tr>
      <w:tr w14:paraId="31AB2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664" w:type="dxa"/>
            <w:noWrap w:val="0"/>
            <w:vAlign w:val="center"/>
          </w:tcPr>
          <w:p w14:paraId="503908E1">
            <w:pPr>
              <w:spacing w:line="312" w:lineRule="auto"/>
              <w:jc w:val="center"/>
              <w:rPr>
                <w:rFonts w:hint="eastAsia" w:ascii="宋体" w:hAnsi="宋体" w:eastAsia="宋体" w:cs="宋体"/>
                <w:kern w:val="0"/>
                <w:sz w:val="24"/>
                <w:szCs w:val="24"/>
                <w:lang w:val="en-US" w:eastAsia="zh-CN"/>
              </w:rPr>
            </w:pPr>
            <w:r>
              <w:rPr>
                <w:rFonts w:hint="eastAsia" w:ascii="宋体" w:hAnsi="宋体" w:eastAsia="宋体" w:cs="宋体"/>
                <w:b/>
                <w:sz w:val="24"/>
                <w:szCs w:val="24"/>
              </w:rPr>
              <w:t>选拔方式</w:t>
            </w:r>
          </w:p>
        </w:tc>
        <w:tc>
          <w:tcPr>
            <w:tcW w:w="5640" w:type="dxa"/>
            <w:shd w:val="clear" w:color="auto" w:fill="auto"/>
            <w:noWrap w:val="0"/>
            <w:vAlign w:val="center"/>
          </w:tcPr>
          <w:p w14:paraId="17994544">
            <w:pPr>
              <w:spacing w:line="312" w:lineRule="auto"/>
              <w:jc w:val="left"/>
              <w:rPr>
                <w:rFonts w:hint="eastAsia" w:ascii="宋体" w:hAnsi="宋体" w:eastAsia="宋体" w:cs="宋体"/>
                <w:kern w:val="0"/>
                <w:sz w:val="24"/>
                <w:szCs w:val="24"/>
                <w:lang w:val="en-US" w:eastAsia="zh-CN"/>
              </w:rPr>
            </w:pPr>
            <w:r>
              <w:rPr>
                <w:rFonts w:hint="eastAsia" w:ascii="宋体" w:hAnsi="宋体" w:eastAsia="宋体" w:cs="宋体"/>
                <w:b w:val="0"/>
                <w:sz w:val="24"/>
                <w:szCs w:val="24"/>
              </w:rPr>
              <w:t>报名人数超过招生计划时，可组织选拔考试或面试</w:t>
            </w:r>
          </w:p>
        </w:tc>
      </w:tr>
    </w:tbl>
    <w:p w14:paraId="608DA6F1">
      <w:pPr>
        <w:widowControl/>
        <w:numPr>
          <w:ilvl w:val="0"/>
          <w:numId w:val="0"/>
        </w:numPr>
        <w:adjustRightInd w:val="0"/>
        <w:snapToGrid w:val="0"/>
        <w:spacing w:line="360" w:lineRule="auto"/>
        <w:ind w:firstLine="560" w:firstLineChars="200"/>
        <w:jc w:val="both"/>
        <w:rPr>
          <w:rFonts w:hint="eastAsia" w:ascii="宋体" w:hAnsi="宋体" w:eastAsia="宋体" w:cs="宋体"/>
          <w:b w:val="0"/>
          <w:bCs w:val="0"/>
          <w:kern w:val="0"/>
          <w:sz w:val="28"/>
          <w:szCs w:val="28"/>
          <w:lang w:val="en-US" w:eastAsia="zh-CN"/>
        </w:rPr>
      </w:pPr>
      <w:r>
        <w:rPr>
          <w:rFonts w:hint="eastAsia" w:ascii="宋体" w:hAnsi="宋体" w:eastAsia="宋体" w:cs="宋体"/>
          <w:b w:val="0"/>
          <w:bCs w:val="0"/>
          <w:kern w:val="0"/>
          <w:sz w:val="28"/>
          <w:szCs w:val="28"/>
          <w:lang w:val="en-US" w:eastAsia="zh-CN"/>
        </w:rPr>
        <w:t>如报名人数未超过招生计划，且报名学生符合基本报名条件，经资格审核后可按程序录取；如报名人数超过招生计划，外国语学部可根据学生英语能力证明、专业背景、学习成绩、综合表现等情况进行择优遴选，必要时组织选拔考试或面试。</w:t>
      </w:r>
    </w:p>
    <w:p w14:paraId="59ED089C">
      <w:pPr>
        <w:widowControl/>
        <w:adjustRightInd w:val="0"/>
        <w:snapToGrid w:val="0"/>
        <w:spacing w:line="360" w:lineRule="auto"/>
        <w:ind w:firstLine="562" w:firstLineChars="200"/>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五、教学计划及授课安排</w:t>
      </w:r>
    </w:p>
    <w:tbl>
      <w:tblPr>
        <w:tblStyle w:val="3"/>
        <w:tblW w:w="86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3"/>
        <w:gridCol w:w="1215"/>
        <w:gridCol w:w="1230"/>
        <w:gridCol w:w="1740"/>
        <w:gridCol w:w="1431"/>
      </w:tblGrid>
      <w:tr w14:paraId="12011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jc w:val="center"/>
        </w:trPr>
        <w:tc>
          <w:tcPr>
            <w:tcW w:w="3053" w:type="dxa"/>
            <w:noWrap w:val="0"/>
            <w:vAlign w:val="center"/>
          </w:tcPr>
          <w:p w14:paraId="228705E7">
            <w:pPr>
              <w:widowControl/>
              <w:jc w:val="center"/>
              <w:rPr>
                <w:rFonts w:hint="eastAsia" w:ascii="宋体" w:hAnsi="宋体" w:eastAsia="宋体" w:cs="宋体"/>
                <w:b/>
                <w:bCs w:val="0"/>
                <w:spacing w:val="20"/>
                <w:sz w:val="22"/>
                <w:szCs w:val="22"/>
                <w:lang w:eastAsia="zh-CN"/>
              </w:rPr>
            </w:pPr>
            <w:r>
              <w:rPr>
                <w:rFonts w:hint="eastAsia" w:ascii="宋体" w:hAnsi="宋体" w:eastAsia="宋体" w:cs="宋体"/>
                <w:b/>
                <w:bCs w:val="0"/>
                <w:sz w:val="22"/>
                <w:szCs w:val="22"/>
              </w:rPr>
              <w:t>课程名称</w:t>
            </w:r>
          </w:p>
        </w:tc>
        <w:tc>
          <w:tcPr>
            <w:tcW w:w="1215" w:type="dxa"/>
            <w:noWrap w:val="0"/>
            <w:vAlign w:val="center"/>
          </w:tcPr>
          <w:p w14:paraId="64F0962F">
            <w:pPr>
              <w:widowControl/>
              <w:jc w:val="center"/>
              <w:rPr>
                <w:rFonts w:hint="eastAsia" w:ascii="宋体" w:hAnsi="宋体" w:eastAsia="宋体" w:cs="宋体"/>
                <w:b/>
                <w:bCs w:val="0"/>
                <w:spacing w:val="20"/>
                <w:sz w:val="22"/>
                <w:szCs w:val="22"/>
                <w:lang w:val="en-US" w:eastAsia="zh-CN" w:bidi="ar-SA"/>
              </w:rPr>
            </w:pPr>
            <w:r>
              <w:rPr>
                <w:rFonts w:hint="eastAsia" w:ascii="宋体" w:hAnsi="宋体" w:eastAsia="宋体" w:cs="宋体"/>
                <w:b/>
                <w:bCs w:val="0"/>
                <w:sz w:val="22"/>
                <w:szCs w:val="22"/>
              </w:rPr>
              <w:t>学分</w:t>
            </w:r>
          </w:p>
        </w:tc>
        <w:tc>
          <w:tcPr>
            <w:tcW w:w="1230" w:type="dxa"/>
            <w:noWrap w:val="0"/>
            <w:vAlign w:val="center"/>
          </w:tcPr>
          <w:p w14:paraId="77E60E57">
            <w:pPr>
              <w:jc w:val="center"/>
              <w:rPr>
                <w:rFonts w:hint="eastAsia" w:ascii="宋体" w:hAnsi="宋体" w:eastAsia="宋体" w:cs="宋体"/>
                <w:b/>
                <w:bCs w:val="0"/>
                <w:spacing w:val="20"/>
                <w:sz w:val="22"/>
                <w:szCs w:val="22"/>
                <w:lang w:val="en-US" w:eastAsia="zh-CN"/>
              </w:rPr>
            </w:pPr>
            <w:r>
              <w:rPr>
                <w:rFonts w:hint="eastAsia" w:ascii="宋体" w:hAnsi="宋体" w:eastAsia="宋体" w:cs="宋体"/>
                <w:b/>
                <w:bCs w:val="0"/>
                <w:sz w:val="22"/>
                <w:szCs w:val="22"/>
              </w:rPr>
              <w:t>总学时</w:t>
            </w:r>
          </w:p>
        </w:tc>
        <w:tc>
          <w:tcPr>
            <w:tcW w:w="1740" w:type="dxa"/>
            <w:noWrap w:val="0"/>
            <w:vAlign w:val="center"/>
          </w:tcPr>
          <w:p w14:paraId="7072D9D5">
            <w:pPr>
              <w:widowControl/>
              <w:jc w:val="center"/>
              <w:rPr>
                <w:rFonts w:hint="eastAsia" w:ascii="宋体" w:hAnsi="宋体" w:eastAsia="宋体" w:cs="宋体"/>
                <w:b/>
                <w:bCs w:val="0"/>
                <w:color w:val="auto"/>
                <w:spacing w:val="20"/>
                <w:sz w:val="22"/>
                <w:szCs w:val="22"/>
                <w:lang w:val="en-US" w:eastAsia="zh-CN"/>
              </w:rPr>
            </w:pPr>
            <w:r>
              <w:rPr>
                <w:rFonts w:hint="eastAsia" w:ascii="宋体" w:hAnsi="宋体" w:eastAsia="宋体" w:cs="宋体"/>
                <w:b/>
                <w:bCs w:val="0"/>
                <w:color w:val="auto"/>
                <w:spacing w:val="20"/>
                <w:sz w:val="22"/>
                <w:szCs w:val="22"/>
                <w:lang w:val="en-US" w:eastAsia="zh-CN"/>
              </w:rPr>
              <w:t>开课形式</w:t>
            </w:r>
          </w:p>
        </w:tc>
        <w:tc>
          <w:tcPr>
            <w:tcW w:w="1431" w:type="dxa"/>
            <w:noWrap w:val="0"/>
            <w:vAlign w:val="center"/>
          </w:tcPr>
          <w:p w14:paraId="2E14E704">
            <w:pPr>
              <w:widowControl/>
              <w:jc w:val="center"/>
              <w:rPr>
                <w:rFonts w:hint="default" w:ascii="宋体" w:hAnsi="宋体" w:eastAsia="宋体" w:cs="宋体"/>
                <w:b/>
                <w:bCs w:val="0"/>
                <w:color w:val="auto"/>
                <w:spacing w:val="20"/>
                <w:sz w:val="22"/>
                <w:szCs w:val="22"/>
                <w:lang w:val="en-US" w:eastAsia="zh-CN"/>
              </w:rPr>
            </w:pPr>
            <w:r>
              <w:rPr>
                <w:rFonts w:hint="eastAsia" w:ascii="宋体" w:hAnsi="宋体" w:eastAsia="宋体" w:cs="宋体"/>
                <w:b/>
                <w:bCs w:val="0"/>
                <w:color w:val="auto"/>
                <w:spacing w:val="20"/>
                <w:sz w:val="22"/>
                <w:szCs w:val="22"/>
                <w:lang w:val="en-US" w:eastAsia="zh-CN"/>
              </w:rPr>
              <w:t>修业年限</w:t>
            </w:r>
          </w:p>
        </w:tc>
      </w:tr>
      <w:tr w14:paraId="10C9F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3053" w:type="dxa"/>
            <w:noWrap w:val="0"/>
            <w:vAlign w:val="center"/>
          </w:tcPr>
          <w:p w14:paraId="02471945">
            <w:pPr>
              <w:widowControl/>
              <w:jc w:val="center"/>
              <w:rPr>
                <w:rFonts w:hint="eastAsia" w:ascii="宋体" w:hAnsi="宋体" w:eastAsia="宋体" w:cs="宋体"/>
                <w:b/>
                <w:color w:val="auto"/>
                <w:spacing w:val="20"/>
                <w:sz w:val="24"/>
                <w:szCs w:val="24"/>
                <w:lang w:val="en-US" w:eastAsia="zh-CN"/>
              </w:rPr>
            </w:pPr>
            <w:r>
              <w:rPr>
                <w:rFonts w:hint="eastAsia" w:ascii="宋体" w:hAnsi="宋体" w:eastAsia="宋体" w:cs="宋体"/>
                <w:color w:val="auto"/>
                <w:sz w:val="24"/>
                <w:szCs w:val="24"/>
              </w:rPr>
              <w:t>医学英语核心词汇与句型应用</w:t>
            </w:r>
          </w:p>
        </w:tc>
        <w:tc>
          <w:tcPr>
            <w:tcW w:w="1215" w:type="dxa"/>
            <w:noWrap w:val="0"/>
            <w:vAlign w:val="center"/>
          </w:tcPr>
          <w:p w14:paraId="503584B7">
            <w:pPr>
              <w:widowControl/>
              <w:jc w:val="center"/>
              <w:rPr>
                <w:rFonts w:hint="eastAsia" w:ascii="宋体" w:hAnsi="宋体" w:eastAsia="宋体" w:cs="宋体"/>
                <w:b/>
                <w:color w:val="auto"/>
                <w:spacing w:val="20"/>
                <w:sz w:val="24"/>
                <w:szCs w:val="24"/>
                <w:lang w:val="en-US" w:eastAsia="zh-CN"/>
              </w:rPr>
            </w:pPr>
            <w:r>
              <w:rPr>
                <w:rFonts w:hint="eastAsia" w:ascii="宋体" w:hAnsi="宋体" w:eastAsia="宋体" w:cs="宋体"/>
                <w:b w:val="0"/>
                <w:bCs/>
                <w:color w:val="auto"/>
                <w:spacing w:val="20"/>
                <w:sz w:val="24"/>
                <w:szCs w:val="24"/>
                <w:lang w:val="en-US" w:eastAsia="zh-CN"/>
              </w:rPr>
              <w:t>3</w:t>
            </w:r>
          </w:p>
        </w:tc>
        <w:tc>
          <w:tcPr>
            <w:tcW w:w="1230" w:type="dxa"/>
            <w:noWrap w:val="0"/>
            <w:vAlign w:val="center"/>
          </w:tcPr>
          <w:p w14:paraId="141F6A40">
            <w:pPr>
              <w:widowControl/>
              <w:jc w:val="center"/>
              <w:rPr>
                <w:rFonts w:hint="eastAsia" w:ascii="宋体" w:hAnsi="宋体" w:eastAsia="宋体" w:cs="宋体"/>
                <w:b/>
                <w:color w:val="auto"/>
                <w:spacing w:val="20"/>
                <w:sz w:val="24"/>
                <w:szCs w:val="24"/>
                <w:lang w:val="en-US" w:eastAsia="zh-CN"/>
              </w:rPr>
            </w:pPr>
            <w:r>
              <w:rPr>
                <w:rFonts w:hint="eastAsia" w:ascii="宋体" w:hAnsi="宋体" w:eastAsia="宋体" w:cs="宋体"/>
                <w:b w:val="0"/>
                <w:bCs/>
                <w:color w:val="auto"/>
                <w:spacing w:val="20"/>
                <w:sz w:val="24"/>
                <w:szCs w:val="24"/>
                <w:lang w:val="en-US" w:eastAsia="zh-CN"/>
              </w:rPr>
              <w:t>48</w:t>
            </w:r>
          </w:p>
        </w:tc>
        <w:tc>
          <w:tcPr>
            <w:tcW w:w="1740" w:type="dxa"/>
            <w:noWrap w:val="0"/>
            <w:vAlign w:val="center"/>
          </w:tcPr>
          <w:p w14:paraId="6A80090C">
            <w:pPr>
              <w:widowControl/>
              <w:jc w:val="center"/>
              <w:rPr>
                <w:rFonts w:hint="eastAsia" w:ascii="宋体" w:hAnsi="宋体" w:eastAsia="宋体" w:cs="宋体"/>
                <w:b/>
                <w:color w:val="auto"/>
                <w:spacing w:val="20"/>
                <w:sz w:val="24"/>
                <w:szCs w:val="24"/>
                <w:lang w:val="en-US" w:eastAsia="zh-CN"/>
              </w:rPr>
            </w:pPr>
            <w:r>
              <w:rPr>
                <w:rFonts w:hint="eastAsia" w:ascii="宋体" w:hAnsi="宋体" w:eastAsia="宋体" w:cs="宋体"/>
                <w:b w:val="0"/>
                <w:bCs/>
                <w:color w:val="auto"/>
                <w:spacing w:val="20"/>
                <w:sz w:val="24"/>
                <w:szCs w:val="24"/>
                <w:lang w:val="en-US" w:eastAsia="zh-CN"/>
              </w:rPr>
              <w:t>线下</w:t>
            </w:r>
          </w:p>
        </w:tc>
        <w:tc>
          <w:tcPr>
            <w:tcW w:w="1431" w:type="dxa"/>
            <w:vMerge w:val="restart"/>
            <w:noWrap w:val="0"/>
            <w:vAlign w:val="center"/>
          </w:tcPr>
          <w:p w14:paraId="7804AD41">
            <w:pPr>
              <w:widowControl/>
              <w:jc w:val="center"/>
              <w:rPr>
                <w:rFonts w:hint="eastAsia" w:ascii="宋体" w:hAnsi="宋体" w:eastAsia="宋体" w:cs="宋体"/>
                <w:kern w:val="0"/>
                <w:sz w:val="24"/>
                <w:szCs w:val="24"/>
                <w:lang w:val="en-US" w:eastAsia="zh-CN"/>
              </w:rPr>
            </w:pPr>
            <w:r>
              <w:rPr>
                <w:rFonts w:hint="eastAsia" w:ascii="宋体" w:hAnsi="宋体" w:eastAsia="宋体" w:cs="宋体"/>
                <w:b w:val="0"/>
                <w:bCs/>
                <w:color w:val="auto"/>
                <w:spacing w:val="20"/>
                <w:sz w:val="24"/>
                <w:szCs w:val="24"/>
                <w:lang w:val="en-US" w:eastAsia="zh-CN"/>
              </w:rPr>
              <w:t>2年</w:t>
            </w:r>
          </w:p>
        </w:tc>
      </w:tr>
      <w:tr w14:paraId="107E7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3053" w:type="dxa"/>
            <w:noWrap w:val="0"/>
            <w:vAlign w:val="center"/>
          </w:tcPr>
          <w:p w14:paraId="7E2EAEA3">
            <w:pPr>
              <w:widowControl/>
              <w:jc w:val="center"/>
              <w:rPr>
                <w:rFonts w:hint="eastAsia" w:ascii="宋体" w:hAnsi="宋体" w:eastAsia="宋体" w:cs="宋体"/>
                <w:b/>
                <w:color w:val="auto"/>
                <w:spacing w:val="20"/>
                <w:sz w:val="24"/>
                <w:szCs w:val="24"/>
              </w:rPr>
            </w:pPr>
            <w:r>
              <w:rPr>
                <w:rFonts w:hint="eastAsia" w:ascii="宋体" w:hAnsi="宋体" w:eastAsia="宋体" w:cs="宋体"/>
                <w:color w:val="auto"/>
                <w:sz w:val="24"/>
                <w:szCs w:val="24"/>
              </w:rPr>
              <w:t>国际医患沟通英语</w:t>
            </w:r>
          </w:p>
        </w:tc>
        <w:tc>
          <w:tcPr>
            <w:tcW w:w="1215" w:type="dxa"/>
            <w:noWrap w:val="0"/>
            <w:vAlign w:val="center"/>
          </w:tcPr>
          <w:p w14:paraId="2ED04CFD">
            <w:pPr>
              <w:widowControl/>
              <w:jc w:val="center"/>
              <w:rPr>
                <w:rFonts w:hint="eastAsia" w:ascii="宋体" w:hAnsi="宋体" w:eastAsia="宋体" w:cs="宋体"/>
                <w:b/>
                <w:color w:val="auto"/>
                <w:spacing w:val="20"/>
                <w:sz w:val="24"/>
                <w:szCs w:val="24"/>
                <w:lang w:val="en-US" w:eastAsia="zh-CN"/>
              </w:rPr>
            </w:pPr>
            <w:r>
              <w:rPr>
                <w:rFonts w:hint="eastAsia" w:ascii="宋体" w:hAnsi="宋体" w:eastAsia="宋体" w:cs="宋体"/>
                <w:b w:val="0"/>
                <w:bCs/>
                <w:color w:val="auto"/>
                <w:spacing w:val="20"/>
                <w:sz w:val="24"/>
                <w:szCs w:val="24"/>
                <w:lang w:val="en-US" w:eastAsia="zh-CN"/>
              </w:rPr>
              <w:t>3</w:t>
            </w:r>
          </w:p>
        </w:tc>
        <w:tc>
          <w:tcPr>
            <w:tcW w:w="1230" w:type="dxa"/>
            <w:noWrap w:val="0"/>
            <w:vAlign w:val="center"/>
          </w:tcPr>
          <w:p w14:paraId="0B919035">
            <w:pPr>
              <w:widowControl/>
              <w:jc w:val="center"/>
              <w:rPr>
                <w:rFonts w:hint="eastAsia" w:ascii="宋体" w:hAnsi="宋体" w:eastAsia="宋体" w:cs="宋体"/>
                <w:b/>
                <w:color w:val="auto"/>
                <w:spacing w:val="20"/>
                <w:sz w:val="24"/>
                <w:szCs w:val="24"/>
                <w:lang w:val="en-US" w:eastAsia="zh-CN"/>
              </w:rPr>
            </w:pPr>
            <w:r>
              <w:rPr>
                <w:rFonts w:hint="eastAsia" w:ascii="宋体" w:hAnsi="宋体" w:eastAsia="宋体" w:cs="宋体"/>
                <w:b w:val="0"/>
                <w:bCs/>
                <w:color w:val="auto"/>
                <w:spacing w:val="20"/>
                <w:sz w:val="24"/>
                <w:szCs w:val="24"/>
                <w:lang w:val="en-US" w:eastAsia="zh-CN"/>
              </w:rPr>
              <w:t>48</w:t>
            </w:r>
          </w:p>
        </w:tc>
        <w:tc>
          <w:tcPr>
            <w:tcW w:w="1740" w:type="dxa"/>
            <w:shd w:val="clear" w:color="auto" w:fill="auto"/>
            <w:noWrap w:val="0"/>
            <w:vAlign w:val="center"/>
          </w:tcPr>
          <w:p w14:paraId="739BE6A6">
            <w:pPr>
              <w:widowControl/>
              <w:jc w:val="center"/>
              <w:rPr>
                <w:rFonts w:hint="eastAsia" w:ascii="宋体" w:hAnsi="宋体" w:eastAsia="宋体" w:cs="宋体"/>
                <w:b/>
                <w:color w:val="auto"/>
                <w:spacing w:val="20"/>
                <w:kern w:val="2"/>
                <w:sz w:val="24"/>
                <w:szCs w:val="24"/>
                <w:lang w:val="en-US" w:eastAsia="zh-CN" w:bidi="ar-SA"/>
              </w:rPr>
            </w:pPr>
            <w:r>
              <w:rPr>
                <w:rFonts w:hint="eastAsia" w:ascii="宋体" w:hAnsi="宋体" w:eastAsia="宋体" w:cs="宋体"/>
                <w:b w:val="0"/>
                <w:bCs/>
                <w:color w:val="auto"/>
                <w:spacing w:val="20"/>
                <w:sz w:val="24"/>
                <w:szCs w:val="24"/>
                <w:lang w:val="en-US" w:eastAsia="zh-CN"/>
              </w:rPr>
              <w:t>线下</w:t>
            </w:r>
          </w:p>
        </w:tc>
        <w:tc>
          <w:tcPr>
            <w:tcW w:w="1431" w:type="dxa"/>
            <w:vMerge w:val="continue"/>
            <w:shd w:val="clear" w:color="auto" w:fill="auto"/>
            <w:noWrap w:val="0"/>
            <w:vAlign w:val="center"/>
          </w:tcPr>
          <w:p w14:paraId="2766B888">
            <w:pPr>
              <w:widowControl/>
              <w:jc w:val="center"/>
              <w:rPr>
                <w:rFonts w:hint="eastAsia" w:ascii="宋体" w:hAnsi="宋体" w:eastAsia="宋体" w:cs="宋体"/>
                <w:kern w:val="0"/>
                <w:sz w:val="24"/>
                <w:szCs w:val="24"/>
                <w:lang w:val="en-US" w:eastAsia="zh-CN"/>
              </w:rPr>
            </w:pPr>
          </w:p>
        </w:tc>
      </w:tr>
      <w:tr w14:paraId="41AC9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3053" w:type="dxa"/>
            <w:noWrap w:val="0"/>
            <w:vAlign w:val="center"/>
          </w:tcPr>
          <w:p w14:paraId="7BAB6C1D">
            <w:pPr>
              <w:widowControl/>
              <w:jc w:val="center"/>
              <w:rPr>
                <w:rFonts w:hint="eastAsia" w:ascii="宋体" w:hAnsi="宋体" w:eastAsia="宋体" w:cs="宋体"/>
                <w:b/>
                <w:spacing w:val="20"/>
                <w:sz w:val="24"/>
                <w:szCs w:val="24"/>
                <w:highlight w:val="none"/>
              </w:rPr>
            </w:pPr>
            <w:r>
              <w:rPr>
                <w:rFonts w:hint="eastAsia" w:ascii="宋体" w:hAnsi="宋体" w:eastAsia="宋体" w:cs="宋体"/>
                <w:color w:val="auto"/>
                <w:sz w:val="24"/>
                <w:szCs w:val="24"/>
              </w:rPr>
              <w:t>国际医疗文书翻译与撰写</w:t>
            </w:r>
          </w:p>
        </w:tc>
        <w:tc>
          <w:tcPr>
            <w:tcW w:w="1215" w:type="dxa"/>
            <w:shd w:val="clear" w:color="auto" w:fill="auto"/>
            <w:noWrap w:val="0"/>
            <w:vAlign w:val="center"/>
          </w:tcPr>
          <w:p w14:paraId="728AF2DD">
            <w:pPr>
              <w:widowControl/>
              <w:jc w:val="center"/>
              <w:rPr>
                <w:rFonts w:hint="eastAsia" w:ascii="宋体" w:hAnsi="宋体" w:eastAsia="宋体" w:cs="宋体"/>
                <w:b/>
                <w:color w:val="auto"/>
                <w:spacing w:val="20"/>
                <w:kern w:val="2"/>
                <w:sz w:val="24"/>
                <w:szCs w:val="24"/>
                <w:lang w:val="en-US" w:eastAsia="zh-CN" w:bidi="ar-SA"/>
              </w:rPr>
            </w:pPr>
            <w:r>
              <w:rPr>
                <w:rFonts w:hint="eastAsia" w:ascii="宋体" w:hAnsi="宋体" w:eastAsia="宋体" w:cs="宋体"/>
                <w:b w:val="0"/>
                <w:bCs/>
                <w:color w:val="auto"/>
                <w:spacing w:val="20"/>
                <w:sz w:val="24"/>
                <w:szCs w:val="24"/>
                <w:lang w:val="en-US" w:eastAsia="zh-CN"/>
              </w:rPr>
              <w:t>3</w:t>
            </w:r>
          </w:p>
        </w:tc>
        <w:tc>
          <w:tcPr>
            <w:tcW w:w="1230" w:type="dxa"/>
            <w:shd w:val="clear" w:color="auto" w:fill="auto"/>
            <w:noWrap w:val="0"/>
            <w:vAlign w:val="center"/>
          </w:tcPr>
          <w:p w14:paraId="3005D81F">
            <w:pPr>
              <w:widowControl/>
              <w:jc w:val="center"/>
              <w:rPr>
                <w:rFonts w:hint="eastAsia" w:ascii="宋体" w:hAnsi="宋体" w:eastAsia="宋体" w:cs="宋体"/>
                <w:b/>
                <w:color w:val="auto"/>
                <w:spacing w:val="20"/>
                <w:kern w:val="2"/>
                <w:sz w:val="24"/>
                <w:szCs w:val="24"/>
                <w:lang w:val="en-US" w:eastAsia="zh-CN" w:bidi="ar-SA"/>
              </w:rPr>
            </w:pPr>
            <w:r>
              <w:rPr>
                <w:rFonts w:hint="eastAsia" w:ascii="宋体" w:hAnsi="宋体" w:eastAsia="宋体" w:cs="宋体"/>
                <w:b w:val="0"/>
                <w:bCs/>
                <w:color w:val="auto"/>
                <w:spacing w:val="20"/>
                <w:sz w:val="24"/>
                <w:szCs w:val="24"/>
                <w:lang w:val="en-US" w:eastAsia="zh-CN"/>
              </w:rPr>
              <w:t>48</w:t>
            </w:r>
          </w:p>
        </w:tc>
        <w:tc>
          <w:tcPr>
            <w:tcW w:w="1740" w:type="dxa"/>
            <w:noWrap w:val="0"/>
            <w:vAlign w:val="center"/>
          </w:tcPr>
          <w:p w14:paraId="3A4BFEF7">
            <w:pPr>
              <w:widowControl/>
              <w:jc w:val="center"/>
              <w:rPr>
                <w:rFonts w:hint="eastAsia" w:ascii="宋体" w:hAnsi="宋体" w:eastAsia="宋体" w:cs="宋体"/>
                <w:b/>
                <w:spacing w:val="20"/>
                <w:sz w:val="24"/>
                <w:szCs w:val="24"/>
              </w:rPr>
            </w:pPr>
            <w:r>
              <w:rPr>
                <w:rFonts w:hint="eastAsia" w:ascii="宋体" w:hAnsi="宋体" w:eastAsia="宋体" w:cs="宋体"/>
                <w:b w:val="0"/>
                <w:bCs/>
                <w:color w:val="auto"/>
                <w:spacing w:val="20"/>
                <w:sz w:val="24"/>
                <w:szCs w:val="24"/>
                <w:lang w:val="en-US" w:eastAsia="zh-CN"/>
              </w:rPr>
              <w:t>线下</w:t>
            </w:r>
          </w:p>
        </w:tc>
        <w:tc>
          <w:tcPr>
            <w:tcW w:w="1431" w:type="dxa"/>
            <w:vMerge w:val="continue"/>
            <w:noWrap w:val="0"/>
            <w:vAlign w:val="center"/>
          </w:tcPr>
          <w:p w14:paraId="688175B7">
            <w:pPr>
              <w:widowControl/>
              <w:jc w:val="center"/>
              <w:rPr>
                <w:rFonts w:hint="eastAsia" w:ascii="宋体" w:hAnsi="宋体" w:eastAsia="宋体" w:cs="宋体"/>
                <w:kern w:val="0"/>
                <w:sz w:val="24"/>
                <w:szCs w:val="24"/>
                <w:lang w:val="en-US" w:eastAsia="zh-CN"/>
              </w:rPr>
            </w:pPr>
          </w:p>
        </w:tc>
      </w:tr>
      <w:tr w14:paraId="17223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3053" w:type="dxa"/>
            <w:noWrap w:val="0"/>
            <w:vAlign w:val="center"/>
          </w:tcPr>
          <w:p w14:paraId="1FE9D4FB">
            <w:pPr>
              <w:widowControl/>
              <w:jc w:val="center"/>
              <w:rPr>
                <w:rFonts w:hint="eastAsia" w:ascii="宋体" w:hAnsi="宋体" w:eastAsia="宋体" w:cs="宋体"/>
                <w:kern w:val="0"/>
                <w:sz w:val="24"/>
                <w:szCs w:val="24"/>
                <w:lang w:val="en-US" w:eastAsia="zh-CN"/>
              </w:rPr>
            </w:pPr>
            <w:r>
              <w:rPr>
                <w:rFonts w:hint="eastAsia" w:ascii="宋体" w:hAnsi="宋体" w:eastAsia="宋体" w:cs="宋体"/>
                <w:color w:val="auto"/>
                <w:sz w:val="24"/>
                <w:szCs w:val="24"/>
              </w:rPr>
              <w:t>国际医疗服务流程与规范</w:t>
            </w:r>
          </w:p>
        </w:tc>
        <w:tc>
          <w:tcPr>
            <w:tcW w:w="1215" w:type="dxa"/>
            <w:shd w:val="clear" w:color="auto" w:fill="auto"/>
            <w:noWrap w:val="0"/>
            <w:vAlign w:val="center"/>
          </w:tcPr>
          <w:p w14:paraId="05058985">
            <w:pPr>
              <w:widowControl/>
              <w:jc w:val="center"/>
              <w:rPr>
                <w:rFonts w:hint="eastAsia" w:ascii="宋体" w:hAnsi="宋体" w:eastAsia="宋体" w:cs="宋体"/>
                <w:kern w:val="0"/>
                <w:sz w:val="24"/>
                <w:szCs w:val="24"/>
                <w:lang w:val="en-US" w:eastAsia="zh-CN"/>
              </w:rPr>
            </w:pPr>
            <w:r>
              <w:rPr>
                <w:rFonts w:hint="eastAsia" w:ascii="宋体" w:hAnsi="宋体" w:eastAsia="宋体" w:cs="宋体"/>
                <w:b w:val="0"/>
                <w:bCs/>
                <w:color w:val="auto"/>
                <w:spacing w:val="20"/>
                <w:sz w:val="24"/>
                <w:szCs w:val="24"/>
                <w:lang w:val="en-US" w:eastAsia="zh-CN"/>
              </w:rPr>
              <w:t>3</w:t>
            </w:r>
          </w:p>
        </w:tc>
        <w:tc>
          <w:tcPr>
            <w:tcW w:w="1230" w:type="dxa"/>
            <w:shd w:val="clear" w:color="auto" w:fill="auto"/>
            <w:noWrap w:val="0"/>
            <w:vAlign w:val="center"/>
          </w:tcPr>
          <w:p w14:paraId="48C15950">
            <w:pPr>
              <w:widowControl/>
              <w:jc w:val="center"/>
              <w:rPr>
                <w:rFonts w:hint="default" w:ascii="宋体" w:hAnsi="宋体" w:eastAsia="宋体" w:cs="宋体"/>
                <w:kern w:val="0"/>
                <w:sz w:val="24"/>
                <w:szCs w:val="24"/>
                <w:lang w:val="en-US" w:eastAsia="zh-CN"/>
              </w:rPr>
            </w:pPr>
            <w:r>
              <w:rPr>
                <w:rFonts w:hint="eastAsia" w:ascii="宋体" w:hAnsi="宋体" w:eastAsia="宋体" w:cs="宋体"/>
                <w:b w:val="0"/>
                <w:bCs/>
                <w:color w:val="auto"/>
                <w:spacing w:val="20"/>
                <w:sz w:val="24"/>
                <w:szCs w:val="24"/>
                <w:lang w:val="en-US" w:eastAsia="zh-CN"/>
              </w:rPr>
              <w:t>48</w:t>
            </w:r>
          </w:p>
        </w:tc>
        <w:tc>
          <w:tcPr>
            <w:tcW w:w="1740" w:type="dxa"/>
            <w:noWrap w:val="0"/>
            <w:vAlign w:val="center"/>
          </w:tcPr>
          <w:p w14:paraId="6064CBA2">
            <w:pPr>
              <w:widowControl/>
              <w:jc w:val="center"/>
              <w:rPr>
                <w:rFonts w:hint="eastAsia" w:ascii="宋体" w:hAnsi="宋体" w:eastAsia="宋体" w:cs="宋体"/>
                <w:kern w:val="0"/>
                <w:sz w:val="24"/>
                <w:szCs w:val="24"/>
                <w:lang w:val="en-US" w:eastAsia="zh-CN"/>
              </w:rPr>
            </w:pPr>
            <w:r>
              <w:rPr>
                <w:rFonts w:hint="eastAsia" w:ascii="宋体" w:hAnsi="宋体" w:eastAsia="宋体" w:cs="宋体"/>
                <w:b w:val="0"/>
                <w:bCs/>
                <w:color w:val="auto"/>
                <w:spacing w:val="20"/>
                <w:sz w:val="24"/>
                <w:szCs w:val="24"/>
                <w:lang w:val="en-US" w:eastAsia="zh-CN"/>
              </w:rPr>
              <w:t>线上+线下</w:t>
            </w:r>
          </w:p>
        </w:tc>
        <w:tc>
          <w:tcPr>
            <w:tcW w:w="1431" w:type="dxa"/>
            <w:vMerge w:val="continue"/>
            <w:noWrap w:val="0"/>
            <w:vAlign w:val="center"/>
          </w:tcPr>
          <w:p w14:paraId="789DE551">
            <w:pPr>
              <w:widowControl/>
              <w:jc w:val="center"/>
              <w:rPr>
                <w:rFonts w:hint="eastAsia" w:ascii="宋体" w:hAnsi="宋体" w:eastAsia="宋体" w:cs="宋体"/>
                <w:kern w:val="0"/>
                <w:sz w:val="24"/>
                <w:szCs w:val="24"/>
                <w:lang w:val="en-US" w:eastAsia="zh-CN"/>
              </w:rPr>
            </w:pPr>
          </w:p>
        </w:tc>
      </w:tr>
      <w:tr w14:paraId="369BD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3053" w:type="dxa"/>
            <w:noWrap w:val="0"/>
            <w:vAlign w:val="center"/>
          </w:tcPr>
          <w:p w14:paraId="6A13F5B2">
            <w:pPr>
              <w:widowControl/>
              <w:jc w:val="center"/>
              <w:rPr>
                <w:rFonts w:hint="eastAsia" w:ascii="宋体" w:hAnsi="宋体" w:eastAsia="宋体" w:cs="宋体"/>
                <w:kern w:val="0"/>
                <w:sz w:val="24"/>
                <w:szCs w:val="24"/>
                <w:lang w:val="en-US" w:eastAsia="zh-CN"/>
              </w:rPr>
            </w:pPr>
            <w:r>
              <w:rPr>
                <w:rFonts w:hint="eastAsia" w:ascii="宋体" w:hAnsi="宋体" w:eastAsia="宋体" w:cs="宋体"/>
                <w:color w:val="auto"/>
                <w:sz w:val="24"/>
                <w:szCs w:val="24"/>
              </w:rPr>
              <w:t>国际医疗服务实践与跨文化适配</w:t>
            </w:r>
          </w:p>
        </w:tc>
        <w:tc>
          <w:tcPr>
            <w:tcW w:w="1215" w:type="dxa"/>
            <w:shd w:val="clear" w:color="auto" w:fill="auto"/>
            <w:noWrap w:val="0"/>
            <w:vAlign w:val="center"/>
          </w:tcPr>
          <w:p w14:paraId="16B6D28E">
            <w:pPr>
              <w:widowControl/>
              <w:jc w:val="center"/>
              <w:rPr>
                <w:rFonts w:hint="eastAsia" w:ascii="宋体" w:hAnsi="宋体" w:eastAsia="宋体" w:cs="宋体"/>
                <w:kern w:val="0"/>
                <w:sz w:val="24"/>
                <w:szCs w:val="24"/>
                <w:lang w:val="en-US" w:eastAsia="zh-CN"/>
              </w:rPr>
            </w:pPr>
            <w:r>
              <w:rPr>
                <w:rFonts w:hint="eastAsia" w:ascii="宋体" w:hAnsi="宋体" w:eastAsia="宋体" w:cs="宋体"/>
                <w:b w:val="0"/>
                <w:bCs/>
                <w:color w:val="auto"/>
                <w:spacing w:val="20"/>
                <w:sz w:val="24"/>
                <w:szCs w:val="24"/>
                <w:lang w:val="en-US" w:eastAsia="zh-CN"/>
              </w:rPr>
              <w:t>3</w:t>
            </w:r>
          </w:p>
        </w:tc>
        <w:tc>
          <w:tcPr>
            <w:tcW w:w="1230" w:type="dxa"/>
            <w:shd w:val="clear" w:color="auto" w:fill="auto"/>
            <w:noWrap w:val="0"/>
            <w:vAlign w:val="center"/>
          </w:tcPr>
          <w:p w14:paraId="696CDA94">
            <w:pPr>
              <w:widowControl/>
              <w:jc w:val="center"/>
              <w:rPr>
                <w:rFonts w:hint="default" w:ascii="宋体" w:hAnsi="宋体" w:eastAsia="宋体" w:cs="宋体"/>
                <w:kern w:val="0"/>
                <w:sz w:val="24"/>
                <w:szCs w:val="24"/>
                <w:lang w:val="en-US" w:eastAsia="zh-CN"/>
              </w:rPr>
            </w:pPr>
            <w:r>
              <w:rPr>
                <w:rFonts w:hint="eastAsia" w:ascii="宋体" w:hAnsi="宋体" w:eastAsia="宋体" w:cs="宋体"/>
                <w:b w:val="0"/>
                <w:bCs/>
                <w:color w:val="auto"/>
                <w:spacing w:val="20"/>
                <w:sz w:val="24"/>
                <w:szCs w:val="24"/>
                <w:lang w:val="en-US" w:eastAsia="zh-CN"/>
              </w:rPr>
              <w:t>48</w:t>
            </w:r>
          </w:p>
        </w:tc>
        <w:tc>
          <w:tcPr>
            <w:tcW w:w="1740" w:type="dxa"/>
            <w:noWrap w:val="0"/>
            <w:vAlign w:val="center"/>
          </w:tcPr>
          <w:p w14:paraId="01FF2430">
            <w:pPr>
              <w:widowControl/>
              <w:jc w:val="center"/>
              <w:rPr>
                <w:rFonts w:hint="eastAsia" w:ascii="宋体" w:hAnsi="宋体" w:eastAsia="宋体" w:cs="宋体"/>
                <w:kern w:val="0"/>
                <w:sz w:val="24"/>
                <w:szCs w:val="24"/>
                <w:lang w:val="en-US" w:eastAsia="zh-CN"/>
              </w:rPr>
            </w:pPr>
            <w:r>
              <w:rPr>
                <w:rFonts w:hint="eastAsia" w:ascii="宋体" w:hAnsi="宋体" w:eastAsia="宋体" w:cs="宋体"/>
                <w:b w:val="0"/>
                <w:bCs/>
                <w:color w:val="auto"/>
                <w:spacing w:val="20"/>
                <w:sz w:val="24"/>
                <w:szCs w:val="24"/>
                <w:lang w:val="en-US" w:eastAsia="zh-CN"/>
              </w:rPr>
              <w:t>线上+线下</w:t>
            </w:r>
          </w:p>
        </w:tc>
        <w:tc>
          <w:tcPr>
            <w:tcW w:w="1431" w:type="dxa"/>
            <w:vMerge w:val="continue"/>
            <w:noWrap w:val="0"/>
            <w:vAlign w:val="center"/>
          </w:tcPr>
          <w:p w14:paraId="119356BF">
            <w:pPr>
              <w:widowControl/>
              <w:jc w:val="center"/>
              <w:rPr>
                <w:rFonts w:hint="eastAsia" w:ascii="宋体" w:hAnsi="宋体" w:eastAsia="宋体" w:cs="宋体"/>
                <w:kern w:val="0"/>
                <w:sz w:val="24"/>
                <w:szCs w:val="24"/>
                <w:lang w:val="en-US" w:eastAsia="zh-CN"/>
              </w:rPr>
            </w:pPr>
          </w:p>
        </w:tc>
      </w:tr>
    </w:tbl>
    <w:p w14:paraId="1CE1F831">
      <w:pPr>
        <w:widowControl/>
        <w:numPr>
          <w:ilvl w:val="0"/>
          <w:numId w:val="0"/>
        </w:numPr>
        <w:adjustRightInd w:val="0"/>
        <w:snapToGrid w:val="0"/>
        <w:spacing w:line="360" w:lineRule="auto"/>
        <w:ind w:firstLine="560" w:firstLineChars="200"/>
        <w:jc w:val="both"/>
        <w:rPr>
          <w:rFonts w:hint="eastAsia" w:ascii="宋体" w:hAnsi="宋体" w:eastAsia="宋体" w:cs="宋体"/>
          <w:b w:val="0"/>
          <w:bCs w:val="0"/>
          <w:kern w:val="0"/>
          <w:sz w:val="28"/>
          <w:szCs w:val="28"/>
          <w:lang w:val="en-US" w:eastAsia="zh-CN"/>
        </w:rPr>
      </w:pPr>
    </w:p>
    <w:p w14:paraId="38ED20A6">
      <w:pPr>
        <w:widowControl/>
        <w:numPr>
          <w:ilvl w:val="0"/>
          <w:numId w:val="0"/>
        </w:numPr>
        <w:adjustRightInd w:val="0"/>
        <w:snapToGrid w:val="0"/>
        <w:spacing w:line="360" w:lineRule="auto"/>
        <w:ind w:firstLine="562" w:firstLineChars="200"/>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bidi="ar-SA"/>
        </w:rPr>
        <w:t>六、</w:t>
      </w:r>
      <w:r>
        <w:rPr>
          <w:rFonts w:hint="eastAsia" w:ascii="宋体" w:hAnsi="宋体" w:eastAsia="宋体" w:cs="宋体"/>
          <w:b/>
          <w:bCs/>
          <w:kern w:val="0"/>
          <w:sz w:val="28"/>
          <w:szCs w:val="28"/>
          <w:lang w:val="en-US" w:eastAsia="zh-CN"/>
        </w:rPr>
        <w:t>咨询电话</w:t>
      </w:r>
    </w:p>
    <w:p w14:paraId="6ECD0267">
      <w:pPr>
        <w:widowControl/>
        <w:numPr>
          <w:ilvl w:val="0"/>
          <w:numId w:val="0"/>
        </w:numPr>
        <w:adjustRightInd w:val="0"/>
        <w:snapToGrid w:val="0"/>
        <w:spacing w:line="360" w:lineRule="auto"/>
        <w:ind w:firstLine="560" w:firstLineChars="200"/>
        <w:jc w:val="both"/>
        <w:rPr>
          <w:rFonts w:hint="default"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联系人：李苏明</w:t>
      </w:r>
      <w:bookmarkStart w:id="0" w:name="_GoBack"/>
      <w:bookmarkEnd w:id="0"/>
    </w:p>
    <w:p w14:paraId="65B5E638">
      <w:pPr>
        <w:widowControl/>
        <w:numPr>
          <w:ilvl w:val="0"/>
          <w:numId w:val="0"/>
        </w:numPr>
        <w:adjustRightInd w:val="0"/>
        <w:snapToGrid w:val="0"/>
        <w:spacing w:line="360" w:lineRule="auto"/>
        <w:ind w:firstLine="560" w:firstLineChars="200"/>
        <w:jc w:val="both"/>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联系电话：15261376662</w:t>
      </w:r>
    </w:p>
    <w:p w14:paraId="0C772A7B">
      <w:pPr>
        <w:widowControl/>
        <w:numPr>
          <w:ilvl w:val="0"/>
          <w:numId w:val="0"/>
        </w:numPr>
        <w:adjustRightInd w:val="0"/>
        <w:snapToGrid w:val="0"/>
        <w:spacing w:line="360" w:lineRule="auto"/>
        <w:ind w:firstLine="560" w:firstLineChars="200"/>
        <w:jc w:val="both"/>
        <w:rPr>
          <w:rFonts w:hint="default"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办公地点：行政楼222</w:t>
      </w:r>
    </w:p>
    <w:p w14:paraId="2615845A">
      <w:pPr>
        <w:widowControl/>
        <w:adjustRightInd w:val="0"/>
        <w:snapToGrid w:val="0"/>
        <w:spacing w:line="360" w:lineRule="auto"/>
        <w:ind w:firstLine="560" w:firstLineChars="200"/>
        <w:rPr>
          <w:rFonts w:hint="eastAsia" w:ascii="宋体" w:hAnsi="宋体" w:eastAsia="宋体" w:cs="宋体"/>
          <w:strike/>
          <w:dstrike w:val="0"/>
          <w:kern w:val="0"/>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08546C"/>
    <w:rsid w:val="0A4E755F"/>
    <w:rsid w:val="0B9F6417"/>
    <w:rsid w:val="0C08546C"/>
    <w:rsid w:val="1F6E5213"/>
    <w:rsid w:val="235B6444"/>
    <w:rsid w:val="24160233"/>
    <w:rsid w:val="283917B1"/>
    <w:rsid w:val="295959FF"/>
    <w:rsid w:val="2FEA73B1"/>
    <w:rsid w:val="317732C2"/>
    <w:rsid w:val="318850D4"/>
    <w:rsid w:val="3589141A"/>
    <w:rsid w:val="388F6C16"/>
    <w:rsid w:val="3EA6477B"/>
    <w:rsid w:val="488E23DB"/>
    <w:rsid w:val="4B0B6702"/>
    <w:rsid w:val="4D925CCD"/>
    <w:rsid w:val="4ED817CF"/>
    <w:rsid w:val="5AA97FC7"/>
    <w:rsid w:val="5E40626B"/>
    <w:rsid w:val="5F6B1C1D"/>
    <w:rsid w:val="63A621DA"/>
    <w:rsid w:val="699C142F"/>
    <w:rsid w:val="7B821819"/>
    <w:rsid w:val="7D491F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rPr>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1207</Words>
  <Characters>1249</Characters>
  <Lines>0</Lines>
  <Paragraphs>0</Paragraphs>
  <TotalTime>0</TotalTime>
  <ScaleCrop>false</ScaleCrop>
  <LinksUpToDate>false</LinksUpToDate>
  <CharactersWithSpaces>1253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2026-05-08T09:24:00Z</dcterms:created>
  <dc:creator>千叶</dc:creator>
  <cp:lastModifiedBy>穿靴子的猫</cp:lastModifiedBy>
  <dcterms:modified xsi:type="dcterms:W3CDTF">2026-07-06T09:04:50Z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41FBEF88D6FB4ED3BA8479CF16BEB38F_11</vt:lpwstr>
  </property>
  <property fmtid="{D5CDD505-2E9C-101B-9397-08002B2CF9AE}" pid="4" name="KSOTemplateDocerSaveRecord">
    <vt:lpwstr>eyJoZGlkIjoiNTRhYjJiZmQ5OWNlYTIwYTZmY2M0ZTg3YTJlZDViZDYiLCJ1c2VySWQiOiI3MTc5MTMwNDgifQ==</vt:lpwstr>
  </property>
</Properties>
</file>